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2</w:t>
      </w:r>
      <w:r>
        <w:rPr>
          <w:rFonts w:hint="eastAsia" w:ascii="Arial" w:hAnsi="Arial" w:cs="Arial"/>
          <w:b/>
          <w:bCs/>
          <w:snapToGrid w:val="0"/>
          <w:kern w:val="0"/>
          <w:sz w:val="24"/>
          <w:lang w:val="en-US" w:eastAsia="zh-CN"/>
        </w:rPr>
        <w:t>1bis-e</w:t>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R2-230313</w:t>
      </w:r>
      <w:r>
        <w:rPr>
          <w:rFonts w:hint="eastAsia" w:ascii="Arial" w:hAnsi="Arial" w:cs="Arial"/>
          <w:b/>
          <w:bCs/>
          <w:snapToGrid w:val="0"/>
          <w:kern w:val="0"/>
          <w:sz w:val="24"/>
          <w:lang w:val="en-US" w:eastAsia="zh-CN"/>
        </w:rPr>
        <w:t>9</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hint="eastAsia" w:ascii="Arial" w:hAnsi="Arial" w:cs="Arial"/>
          <w:b/>
          <w:bCs/>
          <w:kern w:val="0"/>
          <w:sz w:val="24"/>
          <w:lang w:val="en-US" w:eastAsia="zh-CN"/>
        </w:rPr>
        <w:t>Electronic meeting, 17</w:t>
      </w:r>
      <w:r>
        <w:rPr>
          <w:rFonts w:ascii="Arial" w:hAnsi="Arial" w:cs="Arial"/>
          <w:b/>
          <w:bCs/>
          <w:kern w:val="0"/>
          <w:sz w:val="24"/>
          <w:vertAlign w:val="superscript"/>
        </w:rPr>
        <w:t>th</w:t>
      </w:r>
      <w:r>
        <w:rPr>
          <w:rFonts w:hint="eastAsia" w:ascii="Arial" w:hAnsi="Arial" w:cs="Arial"/>
          <w:b/>
          <w:bCs/>
          <w:kern w:val="0"/>
          <w:sz w:val="24"/>
          <w:lang w:val="en-US" w:eastAsia="zh-CN"/>
        </w:rPr>
        <w:t xml:space="preserve"> </w:t>
      </w:r>
      <w:r>
        <w:rPr>
          <w:rFonts w:ascii="Arial" w:hAnsi="Arial" w:cs="Arial"/>
          <w:b/>
          <w:bCs/>
          <w:kern w:val="0"/>
          <w:sz w:val="24"/>
        </w:rPr>
        <w:t xml:space="preserve">– </w:t>
      </w:r>
      <w:r>
        <w:rPr>
          <w:rFonts w:hint="eastAsia" w:ascii="Arial" w:hAnsi="Arial" w:cs="Arial"/>
          <w:b/>
          <w:bCs/>
          <w:kern w:val="0"/>
          <w:sz w:val="24"/>
          <w:lang w:val="en-US" w:eastAsia="zh-CN"/>
        </w:rPr>
        <w:t>26</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w:t>
      </w:r>
      <w:r>
        <w:rPr>
          <w:rFonts w:ascii="Arial" w:hAnsi="Arial" w:cs="Arial"/>
          <w:b/>
          <w:bCs/>
          <w:kern w:val="0"/>
          <w:sz w:val="24"/>
        </w:rPr>
        <w:t xml:space="preserve"> </w:t>
      </w:r>
      <w:r>
        <w:rPr>
          <w:rFonts w:hint="eastAsia" w:ascii="Arial" w:hAnsi="Arial" w:cs="Arial"/>
          <w:b/>
          <w:bCs/>
          <w:kern w:val="0"/>
          <w:sz w:val="24"/>
          <w:lang w:val="en-US" w:eastAsia="zh-CN"/>
        </w:rPr>
        <w:t xml:space="preserve">April </w:t>
      </w:r>
      <w:r>
        <w:rPr>
          <w:rFonts w:ascii="Arial" w:hAnsi="Arial" w:cs="Arial"/>
          <w:b/>
          <w:bCs/>
          <w:kern w:val="0"/>
          <w:sz w:val="24"/>
        </w:rPr>
        <w:t>202</w:t>
      </w:r>
      <w:r>
        <w:rPr>
          <w:rFonts w:hint="eastAsia" w:ascii="Arial" w:hAnsi="Arial" w:cs="Arial"/>
          <w:b/>
          <w:bCs/>
          <w:kern w:val="0"/>
          <w:sz w:val="24"/>
          <w:lang w:val="en-US" w:eastAsia="zh-CN"/>
        </w:rPr>
        <w:t>3</w:t>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Cell reselection enhancements for NTN-TN</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7</w:t>
      </w:r>
      <w:r>
        <w:rPr>
          <w:rFonts w:ascii="Arial" w:hAnsi="Arial" w:cs="Arial"/>
          <w:b/>
          <w:bCs/>
          <w:snapToGrid w:val="0"/>
          <w:kern w:val="0"/>
          <w:sz w:val="24"/>
        </w:rPr>
        <w:t>.7.4</w:t>
      </w:r>
      <w:r>
        <w:rPr>
          <w:rFonts w:hint="eastAsia" w:ascii="Arial" w:hAnsi="Arial" w:cs="Arial"/>
          <w:b/>
          <w:bCs/>
          <w:snapToGrid w:val="0"/>
          <w:kern w:val="0"/>
          <w:sz w:val="24"/>
        </w:rPr>
        <w:t>.1</w:t>
      </w:r>
      <w:r>
        <w:rPr>
          <w:rFonts w:hint="eastAsia" w:ascii="Arial" w:hAnsi="Arial" w:cs="Arial"/>
          <w:b/>
          <w:bCs/>
          <w:snapToGrid w:val="0"/>
          <w:kern w:val="0"/>
          <w:sz w:val="24"/>
          <w:lang w:val="en-US" w:eastAsia="zh-CN"/>
        </w:rPr>
        <w:t>.1</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jc w:val="left"/>
        <w:rPr>
          <w:szCs w:val="20"/>
        </w:rPr>
      </w:pPr>
      <w:r>
        <w:rPr>
          <w:rFonts w:hint="eastAsia" w:ascii="Arial" w:hAnsi="Arial" w:cs="Arial"/>
          <w:szCs w:val="20"/>
        </w:rPr>
        <w:t xml:space="preserve"> </w:t>
      </w:r>
      <w:r>
        <w:rPr>
          <w:szCs w:val="20"/>
        </w:rPr>
        <w:t xml:space="preserve">Agreements on </w:t>
      </w:r>
      <w:r>
        <w:rPr>
          <w:rFonts w:hint="eastAsia"/>
          <w:szCs w:val="20"/>
        </w:rPr>
        <w:t xml:space="preserve">NTN-TN </w:t>
      </w:r>
      <w:r>
        <w:rPr>
          <w:szCs w:val="20"/>
        </w:rPr>
        <w:t>cell reselection enhancements are summarized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rPr>
                <w:b/>
                <w:bCs/>
                <w:szCs w:val="20"/>
                <w:highlight w:val="cyan"/>
              </w:rPr>
            </w:pPr>
            <w:r>
              <w:rPr>
                <w:b/>
                <w:bCs/>
                <w:szCs w:val="20"/>
                <w:highlight w:val="cyan"/>
              </w:rPr>
              <w:t xml:space="preserve">RAN2#119-e </w:t>
            </w:r>
          </w:p>
          <w:p>
            <w:pPr>
              <w:widowControl/>
              <w:spacing w:line="240" w:lineRule="auto"/>
              <w:rPr>
                <w:szCs w:val="20"/>
              </w:rPr>
            </w:pPr>
            <w:r>
              <w:rPr>
                <w:szCs w:val="20"/>
              </w:rPr>
              <w:t>Agreements [</w:t>
            </w:r>
            <w:r>
              <w:rPr>
                <w:rStyle w:val="64"/>
                <w:szCs w:val="20"/>
              </w:rPr>
              <w:t>R2-2207327</w:t>
            </w:r>
            <w:r>
              <w:rPr>
                <w:szCs w:val="20"/>
              </w:rPr>
              <w:t>]:</w:t>
            </w:r>
          </w:p>
          <w:p>
            <w:pPr>
              <w:widowControl/>
              <w:rPr>
                <w:szCs w:val="20"/>
              </w:rPr>
            </w:pPr>
            <w:r>
              <w:rPr>
                <w:szCs w:val="20"/>
              </w:rPr>
              <w:t xml:space="preserve">1.RAN2 to work on a solution so that measurements for TN’s coverage are performed only when relevant (FFS what relevant means). </w:t>
            </w:r>
          </w:p>
          <w:p>
            <w:pPr>
              <w:widowControl/>
              <w:rPr>
                <w:szCs w:val="20"/>
              </w:rPr>
            </w:pPr>
            <w:r>
              <w:rPr>
                <w:szCs w:val="20"/>
              </w:rPr>
              <w:t>2.RAN2 to work on assistance information that can be provided to NTN UEs for the above.</w:t>
            </w:r>
          </w:p>
          <w:p>
            <w:pPr>
              <w:widowControl/>
              <w:rPr>
                <w:szCs w:val="20"/>
              </w:rPr>
            </w:pPr>
            <w:r>
              <w:rPr>
                <w:szCs w:val="20"/>
              </w:rPr>
              <w:t xml:space="preserve">3.Cell reselection enhancements (for both NTN-NTN and NTN-TN mobility) are considered for both Earth-moving and (quasi-) Earth-fixed scenarios, at least via the use of system information for broadcasting necessary parameters (dedicated signalling is not precluded). FFS whether the same or different solutions are used for Earth-moving and (quasi-)Earth-fixed scenarios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rPr>
                <w:b/>
                <w:bCs/>
                <w:szCs w:val="20"/>
                <w:highlight w:val="cyan"/>
              </w:rPr>
            </w:pPr>
            <w:r>
              <w:rPr>
                <w:b/>
                <w:bCs/>
                <w:szCs w:val="20"/>
                <w:highlight w:val="cyan"/>
              </w:rPr>
              <w:t xml:space="preserve">RAN2#119bis-e </w:t>
            </w:r>
          </w:p>
          <w:p>
            <w:pPr>
              <w:widowControl/>
              <w:spacing w:line="240" w:lineRule="auto"/>
              <w:rPr>
                <w:szCs w:val="20"/>
              </w:rPr>
            </w:pPr>
            <w:bookmarkStart w:id="2" w:name="OLE_LINK3"/>
            <w:r>
              <w:rPr>
                <w:szCs w:val="20"/>
              </w:rPr>
              <w:t>Agreements [</w:t>
            </w:r>
            <w:r>
              <w:fldChar w:fldCharType="begin"/>
            </w:r>
            <w:r>
              <w:instrText xml:space="preserve"> HYPERLINK "https://www.3gpp.org/ftp/TSG_RAN/WG2_RL2/TSGR2_119bis-e/Docs/R2-2209578.zip" </w:instrText>
            </w:r>
            <w:r>
              <w:fldChar w:fldCharType="separate"/>
            </w:r>
            <w:r>
              <w:rPr>
                <w:rStyle w:val="64"/>
                <w:szCs w:val="20"/>
              </w:rPr>
              <w:t>R2-2209578</w:t>
            </w:r>
            <w:r>
              <w:rPr>
                <w:rStyle w:val="64"/>
                <w:szCs w:val="20"/>
              </w:rPr>
              <w:fldChar w:fldCharType="end"/>
            </w:r>
            <w:r>
              <w:rPr>
                <w:rStyle w:val="64"/>
                <w:szCs w:val="20"/>
              </w:rPr>
              <w:t>]</w:t>
            </w:r>
            <w:r>
              <w:rPr>
                <w:szCs w:val="20"/>
              </w:rPr>
              <w:t>:</w:t>
            </w:r>
          </w:p>
          <w:bookmarkEnd w:id="2"/>
          <w:p>
            <w:pPr>
              <w:widowControl/>
              <w:numPr>
                <w:ilvl w:val="0"/>
                <w:numId w:val="4"/>
              </w:numPr>
              <w:rPr>
                <w:szCs w:val="20"/>
              </w:rPr>
            </w:pPr>
            <w:r>
              <w:rPr>
                <w:szCs w:val="20"/>
              </w:rPr>
              <w:t>To enhance NTN-TN cell reselection, means are defined for a UE to differentiate when camping in an area only covered by NTN network (earth-moving or earth-fixed) vs an area where TN network(s) is/are also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spacing w:line="240" w:lineRule="auto"/>
              <w:rPr>
                <w:szCs w:val="20"/>
              </w:rPr>
            </w:pPr>
            <w:r>
              <w:rPr>
                <w:szCs w:val="20"/>
              </w:rPr>
              <w:t>Agreements [</w:t>
            </w:r>
            <w:r>
              <w:fldChar w:fldCharType="begin"/>
            </w:r>
            <w:r>
              <w:instrText xml:space="preserve"> HYPERLINK "https://www.3gpp.org/ftp/TSG_RAN/WG2_RL2/TSGR2_119bis-e/Docs/R2-2210860.zip" </w:instrText>
            </w:r>
            <w:r>
              <w:fldChar w:fldCharType="separate"/>
            </w:r>
            <w:r>
              <w:rPr>
                <w:rStyle w:val="64"/>
                <w:szCs w:val="20"/>
              </w:rPr>
              <w:t>R2-2210860</w:t>
            </w:r>
            <w:r>
              <w:rPr>
                <w:rStyle w:val="64"/>
                <w:szCs w:val="20"/>
              </w:rPr>
              <w:fldChar w:fldCharType="end"/>
            </w:r>
            <w:r>
              <w:rPr>
                <w:szCs w:val="20"/>
              </w:rPr>
              <w:t>]:</w:t>
            </w:r>
          </w:p>
          <w:p>
            <w:pPr>
              <w:widowControl/>
              <w:rPr>
                <w:szCs w:val="20"/>
              </w:rPr>
            </w:pPr>
            <w:r>
              <w:rPr>
                <w:szCs w:val="20"/>
              </w:rPr>
              <w:t>2.UE is not required to perform neighbour cell measurements for TN neighbour cells in an area where there is no TN network coverage.</w:t>
            </w:r>
          </w:p>
          <w:p>
            <w:pPr>
              <w:widowControl/>
              <w:rPr>
                <w:szCs w:val="20"/>
              </w:rPr>
            </w:pPr>
            <w:r>
              <w:rPr>
                <w:szCs w:val="20"/>
              </w:rPr>
              <w:t>3.The method of detecting the transmission energy or SIB presence to determine the NTN coverage when a UE currently camps on a TN cell is not pursued.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rPr>
                <w:szCs w:val="20"/>
              </w:rPr>
            </w:pPr>
            <w:r>
              <w:rPr>
                <w:b/>
                <w:bCs/>
                <w:szCs w:val="20"/>
                <w:highlight w:val="cyan"/>
              </w:rPr>
              <w:t xml:space="preserve">RAN2#120 </w:t>
            </w:r>
          </w:p>
          <w:p>
            <w:pPr>
              <w:widowControl/>
              <w:rPr>
                <w:szCs w:val="20"/>
              </w:rPr>
            </w:pPr>
            <w:r>
              <w:rPr>
                <w:szCs w:val="20"/>
              </w:rPr>
              <w:t>Agreements [</w:t>
            </w:r>
            <w:r>
              <w:rPr>
                <w:rStyle w:val="64"/>
                <w:szCs w:val="20"/>
              </w:rPr>
              <w:t>R2-2211573</w:t>
            </w:r>
            <w:r>
              <w:rPr>
                <w:szCs w:val="20"/>
              </w:rPr>
              <w:t>]:</w:t>
            </w:r>
          </w:p>
          <w:p>
            <w:pPr>
              <w:widowControl/>
              <w:rPr>
                <w:szCs w:val="20"/>
              </w:rPr>
            </w:pPr>
            <w:r>
              <w:rPr>
                <w:szCs w:val="20"/>
              </w:rPr>
              <w:t>1.RAN2 will first continue the investigation on the details of the TN coverage data (e.g. accuracy requirements for describing where TN network(s) is/are available) and UE storage overhead before deciding how to send the information to the UE.</w:t>
            </w:r>
          </w:p>
          <w:p>
            <w:pPr>
              <w:widowControl/>
              <w:rPr>
                <w:szCs w:val="20"/>
              </w:rPr>
            </w:pPr>
            <w:r>
              <w:rPr>
                <w:szCs w:val="20"/>
              </w:rPr>
              <w:t>2.Continue the discussion on whether to introduce explicit indication to identify TN cells from inter-frequency list and inter-RAT frequency list (FFS on the granularity) or whether we rely on implicit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rPr>
                <w:rFonts w:hint="eastAsia"/>
                <w:b/>
                <w:bCs/>
                <w:szCs w:val="20"/>
                <w:highlight w:val="cyan"/>
                <w:lang w:val="en-US" w:eastAsia="zh-CN"/>
              </w:rPr>
            </w:pPr>
            <w:r>
              <w:rPr>
                <w:rFonts w:hint="eastAsia"/>
                <w:b/>
                <w:bCs/>
                <w:szCs w:val="20"/>
                <w:highlight w:val="cyan"/>
                <w:lang w:val="en-US" w:eastAsia="zh-CN"/>
              </w:rPr>
              <w:t>RAN2#121</w:t>
            </w:r>
          </w:p>
          <w:p>
            <w:pPr>
              <w:widowControl/>
              <w:numPr>
                <w:ilvl w:val="0"/>
                <w:numId w:val="5"/>
              </w:numPr>
              <w:rPr>
                <w:rFonts w:hint="default"/>
                <w:szCs w:val="20"/>
                <w:lang w:val="en-US" w:eastAsia="zh-CN"/>
              </w:rPr>
            </w:pPr>
            <w:r>
              <w:rPr>
                <w:rFonts w:hint="default"/>
                <w:szCs w:val="20"/>
                <w:lang w:val="en-US" w:eastAsia="zh-CN"/>
              </w:rPr>
              <w:t>TN coverage area information will be associated to the frequency information.</w:t>
            </w:r>
          </w:p>
          <w:p>
            <w:pPr>
              <w:widowControl/>
              <w:numPr>
                <w:ilvl w:val="0"/>
                <w:numId w:val="5"/>
              </w:numPr>
              <w:ind w:left="0" w:leftChars="0" w:firstLine="0" w:firstLineChars="0"/>
              <w:rPr>
                <w:rFonts w:hint="default"/>
                <w:szCs w:val="20"/>
                <w:lang w:val="en-US" w:eastAsia="zh-CN"/>
              </w:rPr>
            </w:pPr>
            <w:r>
              <w:rPr>
                <w:rFonts w:hint="default"/>
                <w:szCs w:val="20"/>
                <w:lang w:val="en-US" w:eastAsia="zh-CN"/>
              </w:rPr>
              <w:t>RAN2 adopts explicit description of geographical TN area, and focuses on the following options for further discussion, taking the signalling overhead into account (FFS on the accuracy of the information):</w:t>
            </w:r>
          </w:p>
          <w:p>
            <w:pPr>
              <w:widowControl/>
              <w:rPr>
                <w:rFonts w:hint="default"/>
                <w:szCs w:val="20"/>
                <w:lang w:val="en-US" w:eastAsia="zh-CN"/>
              </w:rPr>
            </w:pPr>
            <w:r>
              <w:rPr>
                <w:rFonts w:hint="default"/>
                <w:szCs w:val="20"/>
                <w:lang w:val="en-US" w:eastAsia="zh-CN"/>
              </w:rPr>
              <w:tab/>
            </w:r>
            <w:r>
              <w:rPr>
                <w:rFonts w:hint="default"/>
                <w:szCs w:val="20"/>
                <w:lang w:val="en-US" w:eastAsia="zh-CN"/>
              </w:rPr>
              <w:t>Option 1: The corresponding geographical area information is provided by network with location coordinates of area center and radius.</w:t>
            </w:r>
          </w:p>
          <w:p>
            <w:pPr>
              <w:widowControl/>
              <w:rPr>
                <w:rFonts w:hint="default"/>
                <w:szCs w:val="20"/>
                <w:lang w:val="en-US" w:eastAsia="zh-CN"/>
              </w:rPr>
            </w:pPr>
            <w:r>
              <w:rPr>
                <w:rFonts w:hint="default"/>
                <w:szCs w:val="20"/>
                <w:lang w:val="en-US" w:eastAsia="zh-CN"/>
              </w:rPr>
              <w:tab/>
            </w:r>
            <w:r>
              <w:rPr>
                <w:rFonts w:hint="default"/>
                <w:szCs w:val="20"/>
                <w:lang w:val="en-US" w:eastAsia="zh-CN"/>
              </w:rPr>
              <w:t>Option 2: a boundary line is provided by network in the format of a list of location coordinates, additionally an indication can be used to indicate which side is the TN side</w:t>
            </w:r>
          </w:p>
          <w:p>
            <w:pPr>
              <w:widowControl/>
              <w:rPr>
                <w:rFonts w:hint="default"/>
                <w:szCs w:val="20"/>
                <w:lang w:val="en-US" w:eastAsia="zh-CN"/>
              </w:rPr>
            </w:pPr>
            <w:r>
              <w:rPr>
                <w:rFonts w:hint="default"/>
                <w:szCs w:val="20"/>
                <w:lang w:val="en-US" w:eastAsia="zh-CN"/>
              </w:rPr>
              <w:tab/>
            </w:r>
            <w:r>
              <w:rPr>
                <w:rFonts w:hint="default"/>
                <w:szCs w:val="20"/>
                <w:lang w:val="en-US" w:eastAsia="zh-CN"/>
              </w:rPr>
              <w:t>Option 6: for each TN area, a list of locations is provided by network, and the corresponding close shape could be illustrated by a polygon connecting these points within the list.</w:t>
            </w:r>
          </w:p>
          <w:p>
            <w:pPr>
              <w:widowControl/>
              <w:numPr>
                <w:ilvl w:val="0"/>
                <w:numId w:val="5"/>
              </w:numPr>
              <w:ind w:left="0" w:leftChars="0" w:firstLine="0" w:firstLineChars="0"/>
              <w:rPr>
                <w:rFonts w:hint="default"/>
                <w:szCs w:val="20"/>
                <w:lang w:val="en-US" w:eastAsia="zh-CN"/>
              </w:rPr>
            </w:pPr>
            <w:r>
              <w:rPr>
                <w:rFonts w:hint="default"/>
                <w:szCs w:val="20"/>
                <w:lang w:val="en-US" w:eastAsia="zh-CN"/>
              </w:rPr>
              <w:t>As a baseline, broadcast signalling is used to provide the information on the TN coverage area for UEs supporting NTN.</w:t>
            </w:r>
          </w:p>
          <w:p>
            <w:pPr>
              <w:widowControl/>
              <w:numPr>
                <w:ilvl w:val="0"/>
                <w:numId w:val="5"/>
              </w:numPr>
              <w:ind w:left="0" w:leftChars="0" w:firstLine="0" w:firstLineChars="0"/>
              <w:rPr>
                <w:rFonts w:hint="default"/>
                <w:szCs w:val="20"/>
                <w:lang w:val="en-US" w:eastAsia="zh-CN"/>
              </w:rPr>
            </w:pPr>
            <w:r>
              <w:rPr>
                <w:rFonts w:hint="default"/>
                <w:szCs w:val="20"/>
                <w:lang w:val="en-US" w:eastAsia="zh-CN"/>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pPr>
              <w:widowControl/>
              <w:numPr>
                <w:ilvl w:val="0"/>
                <w:numId w:val="5"/>
              </w:numPr>
              <w:ind w:left="0" w:leftChars="0" w:firstLine="0" w:firstLineChars="0"/>
              <w:rPr>
                <w:rFonts w:hint="default"/>
                <w:szCs w:val="20"/>
                <w:lang w:val="en-US" w:eastAsia="zh-CN"/>
              </w:rPr>
            </w:pPr>
            <w:r>
              <w:rPr>
                <w:rFonts w:hint="default"/>
                <w:szCs w:val="20"/>
                <w:lang w:val="en-US" w:eastAsia="zh-CN"/>
              </w:rPr>
              <w:t xml:space="preserve">We don’t introduce additional cell reselection prioritization rules for NTN vs TN in Rel-18 (e.g. per service type, per mobility state, or per UE type) on top of what specified in Rel-17 </w:t>
            </w:r>
          </w:p>
        </w:tc>
      </w:tr>
    </w:tbl>
    <w:p>
      <w:pPr>
        <w:rPr>
          <w:szCs w:val="20"/>
        </w:rPr>
      </w:pPr>
      <w:bookmarkStart w:id="3" w:name="_Toc12718547"/>
      <w:r>
        <w:rPr>
          <w:rFonts w:hint="eastAsia"/>
          <w:szCs w:val="20"/>
          <w:lang w:val="en-US" w:eastAsia="zh-CN"/>
        </w:rPr>
        <w:t>The contribution intends to further discuss the NTN-TN cell reselection</w:t>
      </w:r>
      <w:r>
        <w:rPr>
          <w:szCs w:val="20"/>
        </w:rPr>
        <w:t xml:space="preserve"> </w:t>
      </w:r>
      <w:r>
        <w:rPr>
          <w:rFonts w:hint="eastAsia"/>
          <w:szCs w:val="20"/>
          <w:lang w:val="en-US" w:eastAsia="zh-CN"/>
        </w:rPr>
        <w:t xml:space="preserve">with latest progress in RAN2 on this topic.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pStyle w:val="3"/>
        <w:bidi w:val="0"/>
        <w:ind w:left="0" w:leftChars="0" w:firstLine="0" w:firstLineChars="0"/>
        <w:rPr>
          <w:rFonts w:hint="eastAsia"/>
          <w:lang w:val="en-US" w:eastAsia="zh-CN"/>
        </w:rPr>
      </w:pPr>
      <w:r>
        <w:rPr>
          <w:rFonts w:hint="eastAsia"/>
          <w:lang w:val="en-US" w:eastAsia="zh-CN"/>
        </w:rPr>
        <w:t>2.1 TN coverage</w:t>
      </w:r>
    </w:p>
    <w:p>
      <w:pPr>
        <w:rPr>
          <w:rFonts w:hint="eastAsia"/>
          <w:lang w:val="en-US" w:eastAsia="zh-CN"/>
        </w:rPr>
      </w:pPr>
      <w:r>
        <w:rPr>
          <w:rFonts w:hint="eastAsia"/>
          <w:lang w:val="en-US" w:eastAsia="zh-CN"/>
        </w:rPr>
        <w:t xml:space="preserve">RAN2 has agreed to select among below options for delivering the TN coverage to assist measurement relaxation in NTN-TN reselection scenarios. </w:t>
      </w:r>
    </w:p>
    <w:p>
      <w:pPr>
        <w:widowControl/>
        <w:numPr>
          <w:ilvl w:val="0"/>
          <w:numId w:val="6"/>
        </w:numPr>
        <w:ind w:left="420" w:leftChars="0" w:hanging="420" w:firstLineChars="0"/>
        <w:rPr>
          <w:rFonts w:hint="default"/>
          <w:szCs w:val="20"/>
          <w:lang w:val="en-US" w:eastAsia="zh-CN"/>
        </w:rPr>
      </w:pPr>
      <w:r>
        <w:rPr>
          <w:rFonts w:hint="default"/>
          <w:szCs w:val="20"/>
          <w:lang w:val="en-US" w:eastAsia="zh-CN"/>
        </w:rPr>
        <w:tab/>
      </w:r>
      <w:r>
        <w:rPr>
          <w:rFonts w:hint="default"/>
          <w:szCs w:val="20"/>
          <w:lang w:val="en-US" w:eastAsia="zh-CN"/>
        </w:rPr>
        <w:t>Option 1: The corresponding geographical area information is provided by network with location coordinates of area center and radius.</w:t>
      </w:r>
    </w:p>
    <w:p>
      <w:pPr>
        <w:widowControl/>
        <w:numPr>
          <w:ilvl w:val="0"/>
          <w:numId w:val="6"/>
        </w:numPr>
        <w:ind w:left="420" w:leftChars="0" w:hanging="420" w:firstLineChars="0"/>
        <w:rPr>
          <w:rFonts w:hint="default"/>
          <w:szCs w:val="20"/>
          <w:lang w:val="en-US" w:eastAsia="zh-CN"/>
        </w:rPr>
      </w:pPr>
      <w:r>
        <w:rPr>
          <w:rFonts w:hint="default"/>
          <w:szCs w:val="20"/>
          <w:lang w:val="en-US" w:eastAsia="zh-CN"/>
        </w:rPr>
        <w:tab/>
      </w:r>
      <w:r>
        <w:rPr>
          <w:rFonts w:hint="default"/>
          <w:szCs w:val="20"/>
          <w:lang w:val="en-US" w:eastAsia="zh-CN"/>
        </w:rPr>
        <w:t>Option 2: a boundary line is provided by network in the format of a list of location coordinates, additionally an indication can be used to indicate which side is the TN side</w:t>
      </w:r>
    </w:p>
    <w:p>
      <w:pPr>
        <w:widowControl/>
        <w:numPr>
          <w:ilvl w:val="0"/>
          <w:numId w:val="6"/>
        </w:numPr>
        <w:ind w:left="420" w:leftChars="0" w:hanging="420" w:firstLineChars="0"/>
        <w:rPr>
          <w:rFonts w:hint="default"/>
          <w:lang w:val="en-US" w:eastAsia="zh-CN"/>
        </w:rPr>
      </w:pPr>
      <w:r>
        <w:rPr>
          <w:rFonts w:hint="default"/>
          <w:szCs w:val="20"/>
          <w:lang w:val="en-US" w:eastAsia="zh-CN"/>
        </w:rPr>
        <w:tab/>
      </w:r>
      <w:r>
        <w:rPr>
          <w:rFonts w:hint="default"/>
          <w:szCs w:val="20"/>
          <w:lang w:val="en-US" w:eastAsia="zh-CN"/>
        </w:rPr>
        <w:t>Option 6: for each TN area, a list of locations is provided by network, and the corresponding close shape could be illustrated by a polygon connecting these points within the list.</w:t>
      </w:r>
    </w:p>
    <w:p>
      <w:pPr>
        <w:widowControl/>
        <w:numPr>
          <w:ilvl w:val="0"/>
          <w:numId w:val="0"/>
        </w:numPr>
        <w:ind w:leftChars="0"/>
        <w:rPr>
          <w:rFonts w:hint="eastAsia"/>
          <w:lang w:val="en-US" w:eastAsia="zh-CN"/>
        </w:rPr>
      </w:pPr>
      <w:r>
        <w:rPr>
          <w:rFonts w:hint="eastAsia"/>
          <w:lang w:val="en-US" w:eastAsia="zh-CN"/>
        </w:rPr>
        <w:t xml:space="preserve">As agreed in RAN2 the TN coverage is used to relax UE measurement when there is no TN coverage, therefore there is not strict accuracy requirement to provide the TN coverage in cell level granularity, which is also beneficial for both signalling overhead and security protection (i.e., to avoid expose BS location). </w:t>
      </w:r>
    </w:p>
    <w:p>
      <w:pPr>
        <w:widowControl/>
        <w:numPr>
          <w:ilvl w:val="0"/>
          <w:numId w:val="0"/>
        </w:numPr>
        <w:ind w:leftChars="0"/>
        <w:rPr>
          <w:rFonts w:hint="default"/>
          <w:lang w:val="en-US" w:eastAsia="zh-CN"/>
        </w:rPr>
      </w:pPr>
      <w:r>
        <w:rPr>
          <w:rFonts w:hint="eastAsia"/>
          <w:b/>
          <w:bCs/>
          <w:lang w:val="en-US" w:eastAsia="zh-CN"/>
        </w:rPr>
        <w:t>Observation 1: For measurement relaxation purpose, there is no need to always provide TN coverage  in cell level, which can reduce signalling overhead as well as avoid concerns on exposing BS location.</w:t>
      </w:r>
    </w:p>
    <w:p>
      <w:pPr>
        <w:widowControl/>
        <w:numPr>
          <w:ilvl w:val="0"/>
          <w:numId w:val="0"/>
        </w:numPr>
        <w:ind w:leftChars="0"/>
        <w:rPr>
          <w:rFonts w:hint="eastAsia"/>
          <w:lang w:val="en-US" w:eastAsia="zh-CN"/>
        </w:rPr>
      </w:pPr>
      <w:r>
        <w:rPr>
          <w:rFonts w:hint="eastAsia"/>
          <w:lang w:val="en-US" w:eastAsia="zh-CN"/>
        </w:rPr>
        <w:t>Seen from one satellite</w:t>
      </w:r>
      <w:r>
        <w:rPr>
          <w:rFonts w:hint="default"/>
          <w:lang w:val="en-US" w:eastAsia="zh-CN"/>
        </w:rPr>
        <w:t>’</w:t>
      </w:r>
      <w:r>
        <w:rPr>
          <w:rFonts w:hint="eastAsia"/>
          <w:lang w:val="en-US" w:eastAsia="zh-CN"/>
        </w:rPr>
        <w:t xml:space="preserve">s view, the TN cells can be seen as a cluster. For option 1, the TN coverage can be indicate as a circular area which includes one or multiple TN cells, which is up to NW implementation. And the required signalling overhead includes the signalling overhead needed for reference Location coordinate and a distance threshold. </w:t>
      </w:r>
    </w:p>
    <w:p>
      <w:pPr>
        <w:widowControl/>
        <w:numPr>
          <w:ilvl w:val="0"/>
          <w:numId w:val="0"/>
        </w:numPr>
        <w:ind w:leftChars="0"/>
        <w:rPr>
          <w:rFonts w:hint="default"/>
          <w:lang w:val="en-US" w:eastAsia="zh-CN"/>
        </w:rPr>
      </w:pPr>
      <w:r>
        <w:rPr>
          <w:rFonts w:hint="eastAsia"/>
          <w:b/>
          <w:bCs/>
          <w:lang w:val="en-US" w:eastAsia="zh-CN"/>
        </w:rPr>
        <w:t>Observation 2: Option 1 can provide circular TN coverage which includes one or multiple TN cells, where the required signalling overhead includes the overhead to indicate a reference location coordinate and a distance threshold.</w:t>
      </w:r>
    </w:p>
    <w:p>
      <w:pPr>
        <w:widowControl/>
        <w:numPr>
          <w:ilvl w:val="0"/>
          <w:numId w:val="0"/>
        </w:numPr>
        <w:ind w:leftChars="0"/>
        <w:rPr>
          <w:rFonts w:hint="eastAsia"/>
          <w:lang w:val="en-US" w:eastAsia="zh-CN"/>
        </w:rPr>
      </w:pPr>
      <w:r>
        <w:rPr>
          <w:rFonts w:hint="eastAsia"/>
          <w:lang w:val="en-US" w:eastAsia="zh-CN"/>
        </w:rPr>
        <w:t xml:space="preserve">Option 2 and option 6 are similar approaches which can use a list of coordinates to illustrate an irregular TN coverage, where the required signalling overhead will be dependant on the level of accuracy to be considered for broadcasting the TN coverage. The higher the accuracy requirement is, the more siganlling overhead is needed. </w:t>
      </w:r>
    </w:p>
    <w:p>
      <w:pPr>
        <w:widowControl/>
        <w:numPr>
          <w:ilvl w:val="0"/>
          <w:numId w:val="0"/>
        </w:numPr>
        <w:ind w:leftChars="0"/>
        <w:rPr>
          <w:rFonts w:hint="eastAsia"/>
          <w:b/>
          <w:bCs/>
          <w:lang w:val="en-US" w:eastAsia="zh-CN"/>
        </w:rPr>
      </w:pPr>
      <w:r>
        <w:rPr>
          <w:rFonts w:hint="eastAsia"/>
          <w:b/>
          <w:bCs/>
          <w:lang w:val="en-US" w:eastAsia="zh-CN"/>
        </w:rPr>
        <w:t>Observation 3: Both Option 2 and option 6 use a list of coordinates (at least 2 is needed) to indicate the TN coverage, where the higher the accuracy requirement is the more signalling overhead is required.</w:t>
      </w:r>
    </w:p>
    <w:p>
      <w:pPr>
        <w:widowControl/>
        <w:numPr>
          <w:ilvl w:val="0"/>
          <w:numId w:val="0"/>
        </w:numPr>
        <w:ind w:leftChars="0"/>
        <w:rPr>
          <w:rFonts w:hint="default"/>
          <w:lang w:val="en-US" w:eastAsia="zh-CN"/>
        </w:rPr>
      </w:pPr>
      <w:r>
        <w:rPr>
          <w:rFonts w:hint="eastAsia"/>
          <w:lang w:val="en-US" w:eastAsia="zh-CN"/>
        </w:rPr>
        <w:t>It can be known that providing TN coverage is a trade-off between signalling overhead and accuracy. Below gives an example on different options used for providing the TN coverage in the view of a satellite, where TN coverage provided by option 1 is in green doted, TN coverage presented by opt 2 is given in orange dots and dashed line, and TN coverage given by option 6 is in blue dots and solid line.</w:t>
      </w:r>
    </w:p>
    <w:p>
      <w:pPr>
        <w:widowControl/>
        <w:numPr>
          <w:ilvl w:val="0"/>
          <w:numId w:val="0"/>
        </w:numPr>
        <w:ind w:leftChars="0"/>
        <w:rPr>
          <w:rFonts w:hint="eastAsia"/>
          <w:lang w:val="en-US" w:eastAsia="zh-CN"/>
        </w:rPr>
      </w:pPr>
      <w:r>
        <w:rPr>
          <w:rFonts w:hint="eastAsia"/>
          <w:lang w:val="en-US" w:eastAsia="zh-CN"/>
        </w:rPr>
        <w:object>
          <v:shape id="_x0000_i1025" o:spt="75" type="#_x0000_t75" style="height:209.2pt;width:502.45pt;" o:ole="t" filled="f" o:preferrelative="t" stroked="f" coordsize="21600,21600">
            <v:path/>
            <v:fill on="f" focussize="0,0"/>
            <v:stroke on="f"/>
            <v:imagedata r:id="rId8" cropleft="375f" croptop="16064f" cropright="3311f" cropbottom="13081f" o:title=""/>
            <o:lock v:ext="edit" aspectratio="f"/>
            <w10:wrap type="none"/>
            <w10:anchorlock/>
          </v:shape>
          <o:OLEObject Type="Embed" ProgID="Visio.Drawing.15" ShapeID="_x0000_i1025" DrawAspect="Content" ObjectID="_1468075725" r:id="rId7">
            <o:LockedField>false</o:LockedField>
          </o:OLEObject>
        </w:object>
      </w:r>
    </w:p>
    <w:p>
      <w:pPr>
        <w:pStyle w:val="21"/>
        <w:widowControl/>
        <w:numPr>
          <w:ilvl w:val="0"/>
          <w:numId w:val="0"/>
        </w:numPr>
        <w:ind w:leftChars="0"/>
        <w:rPr>
          <w:rFonts w:hint="eastAsia" w:eastAsia="黑体"/>
          <w:lang w:val="en-US" w:eastAsia="zh-CN"/>
        </w:rPr>
      </w:pPr>
      <w:r>
        <w:t xml:space="preserve">Figure </w:t>
      </w:r>
      <w:r>
        <w:fldChar w:fldCharType="begin"/>
      </w:r>
      <w:r>
        <w:instrText xml:space="preserve"> SEQ Figure \* ARABIC </w:instrText>
      </w:r>
      <w:r>
        <w:fldChar w:fldCharType="separate"/>
      </w:r>
      <w:r>
        <w:t>1</w:t>
      </w:r>
      <w:r>
        <w:fldChar w:fldCharType="end"/>
      </w:r>
      <w:r>
        <w:rPr>
          <w:rFonts w:hint="eastAsia"/>
          <w:lang w:val="en-US" w:eastAsia="zh-CN"/>
        </w:rPr>
        <w:t xml:space="preserve"> Example on different options used for providing the TN coverage</w:t>
      </w:r>
    </w:p>
    <w:p>
      <w:pPr>
        <w:widowControl/>
        <w:numPr>
          <w:ilvl w:val="0"/>
          <w:numId w:val="0"/>
        </w:numPr>
        <w:ind w:leftChars="0"/>
        <w:rPr>
          <w:rFonts w:hint="default"/>
          <w:b/>
          <w:bCs/>
          <w:lang w:val="en-US" w:eastAsia="zh-CN"/>
        </w:rPr>
      </w:pPr>
      <w:r>
        <w:rPr>
          <w:rFonts w:hint="eastAsia"/>
          <w:lang w:val="en-US" w:eastAsia="zh-CN"/>
        </w:rPr>
        <w:t xml:space="preserve">According to above Figure 1, the TN coverage accuracy presented by opt2 and opt 6 is similar, and is slightly higher than opt 1. The required signalling overhead for option 1 is one reference location coordinates and one distance threshold. For option 2, the required signalling overhead is 4 coordinates with at least one bit to indicate the TN direction, and for option 6 the required signalling overhead is 5 coordinates. It can be seen that option 1 has the least signalling overhead since the signalling overhead to indicate a distance threshold is normally smaller compared to the signalling overhead to indicate a coordinates, while the accuracy may not necessary be higher than option 1. Considering the simplest situation where only one line is used in option 2 (2 coordinates required) and a triangular is used in option 3 (3 coordinates required), the required signalling overhead would still be higher than option 1, while the accuracy of TN coverage may be lower than opt 1. </w:t>
      </w:r>
    </w:p>
    <w:p>
      <w:pPr>
        <w:widowControl/>
        <w:numPr>
          <w:ilvl w:val="0"/>
          <w:numId w:val="0"/>
        </w:numPr>
        <w:ind w:leftChars="0"/>
        <w:rPr>
          <w:rFonts w:hint="default"/>
          <w:lang w:val="en-US" w:eastAsia="zh-CN"/>
        </w:rPr>
      </w:pPr>
      <w:r>
        <w:rPr>
          <w:rFonts w:hint="eastAsia"/>
          <w:lang w:val="en-US" w:eastAsia="zh-CN"/>
        </w:rPr>
        <w:t>To sum-up, compared to option 1, option 2 and option 6 needs much more signalling overhead to indicate TN coverage while the accuracy of TN coverage is not necessarily higher than option 1. Moreover, both option 2 and 6 would require extra complexity in implementation since NW needs to carefully selects the coordinates along the TN coverage edge.</w:t>
      </w:r>
    </w:p>
    <w:p>
      <w:pPr>
        <w:widowControl/>
        <w:numPr>
          <w:ilvl w:val="0"/>
          <w:numId w:val="0"/>
        </w:numPr>
        <w:ind w:leftChars="0"/>
        <w:rPr>
          <w:rFonts w:hint="default"/>
          <w:b/>
          <w:bCs/>
          <w:lang w:val="en-US" w:eastAsia="zh-CN"/>
        </w:rPr>
      </w:pPr>
      <w:r>
        <w:rPr>
          <w:rFonts w:hint="eastAsia"/>
          <w:b/>
          <w:bCs/>
          <w:lang w:val="en-US" w:eastAsia="zh-CN"/>
        </w:rPr>
        <w:t>Observation 4: Option 2/6 requires much more signalling overhead while the improved TN coverage accuracy is not obvious. And option2/6 require extra complexity in implementation since NW needs to carefully selects the coordinates along the TN coverage edge.</w:t>
      </w:r>
    </w:p>
    <w:p>
      <w:pPr>
        <w:widowControl/>
        <w:numPr>
          <w:ilvl w:val="0"/>
          <w:numId w:val="0"/>
        </w:numPr>
        <w:ind w:leftChars="0"/>
        <w:rPr>
          <w:rFonts w:hint="eastAsia"/>
          <w:b w:val="0"/>
          <w:bCs w:val="0"/>
          <w:lang w:val="en-US" w:eastAsia="zh-CN"/>
        </w:rPr>
      </w:pPr>
      <w:r>
        <w:rPr>
          <w:rFonts w:hint="eastAsia"/>
          <w:b w:val="0"/>
          <w:bCs w:val="0"/>
          <w:lang w:val="en-US" w:eastAsia="zh-CN"/>
        </w:rPr>
        <w:t>Based on above analysis, option 1 is a better solution considering both the accuracy and siganlling overhead required. However, considering in real deployment, the aggregation of TN cells won</w:t>
      </w:r>
      <w:r>
        <w:rPr>
          <w:rFonts w:hint="default"/>
          <w:b w:val="0"/>
          <w:bCs w:val="0"/>
          <w:lang w:val="en-US" w:eastAsia="zh-CN"/>
        </w:rPr>
        <w:t>’</w:t>
      </w:r>
      <w:r>
        <w:rPr>
          <w:rFonts w:hint="eastAsia"/>
          <w:b w:val="0"/>
          <w:bCs w:val="0"/>
          <w:lang w:val="en-US" w:eastAsia="zh-CN"/>
        </w:rPr>
        <w:t xml:space="preserve">t normally has a circular shape, but more like an ellipse, an TN coverage presented by a ellipse can provide more accurate TN coverage information. For a TN coverage with the shape of ellipse, the required information would be the coordinate of ellipse center, half width of the major axis of the ellipse, half width of the minor axis of the ellipse, and an angle information indicating the inclination of the ellipse. Compared to option 1 the additional information required is one additional distance threshold and one angle information, which is not so much. </w:t>
      </w:r>
    </w:p>
    <w:p>
      <w:pPr>
        <w:widowControl/>
        <w:numPr>
          <w:ilvl w:val="0"/>
          <w:numId w:val="0"/>
        </w:numPr>
        <w:ind w:leftChars="0"/>
        <w:rPr>
          <w:rFonts w:hint="default"/>
          <w:b/>
          <w:bCs/>
          <w:lang w:val="en-US" w:eastAsia="zh-CN"/>
        </w:rPr>
      </w:pPr>
      <w:r>
        <w:rPr>
          <w:rFonts w:hint="eastAsia"/>
          <w:b/>
          <w:bCs/>
          <w:lang w:val="en-US" w:eastAsia="zh-CN"/>
        </w:rPr>
        <w:t>Observation 5: Compared to option 1, ellipse-like shape can be used to describe a more realistic TN coverage with higher accuracy and the additional signalling overhead is not so huge (one additional distance threshold and one angle information).</w:t>
      </w:r>
    </w:p>
    <w:p>
      <w:pPr>
        <w:widowControl/>
        <w:numPr>
          <w:ilvl w:val="0"/>
          <w:numId w:val="0"/>
        </w:numPr>
        <w:ind w:leftChars="0"/>
        <w:rPr>
          <w:rFonts w:hint="default"/>
          <w:b w:val="0"/>
          <w:bCs w:val="0"/>
          <w:lang w:val="en-US" w:eastAsia="zh-CN"/>
        </w:rPr>
      </w:pPr>
      <w:r>
        <w:rPr>
          <w:rFonts w:hint="eastAsia"/>
          <w:b w:val="0"/>
          <w:bCs w:val="0"/>
          <w:lang w:val="en-US" w:eastAsia="zh-CN"/>
        </w:rPr>
        <w:t>Therefore based on above analysis it is proposed that RAN2 to discuss whether to use ellipse-shape or circle-shape to indicate TN coverage. If ellipse-shape is used, then the required information to indicate the TN coverage can includes a location coordinates of ellipse center, a half length of major axis, a half length of minor axis, and a angle information. Since there is no need to provide cell-level coverage to UE, it can be up to NW</w:t>
      </w:r>
      <w:r>
        <w:rPr>
          <w:rFonts w:hint="default"/>
          <w:b w:val="0"/>
          <w:bCs w:val="0"/>
          <w:lang w:val="en-US" w:eastAsia="zh-CN"/>
        </w:rPr>
        <w:t>’</w:t>
      </w:r>
      <w:r>
        <w:rPr>
          <w:rFonts w:hint="eastAsia"/>
          <w:b w:val="0"/>
          <w:bCs w:val="0"/>
          <w:lang w:val="en-US" w:eastAsia="zh-CN"/>
        </w:rPr>
        <w:t>s implementation to decide how to aggregate the TN cells within one TN area.</w:t>
      </w:r>
    </w:p>
    <w:p>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bCs/>
          <w:lang w:val="en-US" w:eastAsia="zh-CN"/>
        </w:rPr>
      </w:pPr>
      <w:r>
        <w:rPr>
          <w:rFonts w:hint="eastAsia"/>
          <w:b/>
          <w:bCs/>
          <w:lang w:val="en-US" w:eastAsia="zh-CN"/>
        </w:rPr>
        <w:t>Proposal 1: RAN2 discuss whether to use ellipse-shape or circle-shape to describe TN coverage.</w:t>
      </w:r>
    </w:p>
    <w:p>
      <w:pPr>
        <w:widowControl/>
        <w:numPr>
          <w:ilvl w:val="0"/>
          <w:numId w:val="0"/>
        </w:numPr>
        <w:ind w:leftChars="0"/>
        <w:rPr>
          <w:rFonts w:hint="default"/>
          <w:b w:val="0"/>
          <w:bCs w:val="0"/>
          <w:lang w:val="en-US" w:eastAsia="zh-CN"/>
        </w:rPr>
      </w:pPr>
      <w:r>
        <w:rPr>
          <w:rFonts w:hint="eastAsia"/>
          <w:b w:val="0"/>
          <w:bCs w:val="0"/>
          <w:lang w:val="en-US" w:eastAsia="zh-CN"/>
        </w:rPr>
        <w:t xml:space="preserve">Based on the outcome of P1, RAN2 agree on either P1a or P1b as given below: </w:t>
      </w:r>
    </w:p>
    <w:p>
      <w:pPr>
        <w:widowControl/>
        <w:numPr>
          <w:ilvl w:val="0"/>
          <w:numId w:val="0"/>
        </w:numPr>
        <w:ind w:leftChars="0"/>
        <w:rPr>
          <w:rFonts w:hint="eastAsia"/>
          <w:b/>
          <w:bCs/>
          <w:szCs w:val="20"/>
          <w:lang w:val="en-US" w:eastAsia="zh-CN"/>
        </w:rPr>
      </w:pPr>
      <w:r>
        <w:rPr>
          <w:rFonts w:hint="eastAsia"/>
          <w:b/>
          <w:bCs/>
          <w:lang w:val="en-US" w:eastAsia="zh-CN"/>
        </w:rPr>
        <w:t xml:space="preserve">Proposal 1a: If circle-shape is used to describe TN coverage, the TN </w:t>
      </w:r>
      <w:r>
        <w:rPr>
          <w:rFonts w:hint="default"/>
          <w:b/>
          <w:bCs/>
          <w:szCs w:val="20"/>
          <w:lang w:val="en-US" w:eastAsia="zh-CN"/>
        </w:rPr>
        <w:t xml:space="preserve">area information is </w:t>
      </w:r>
      <w:r>
        <w:rPr>
          <w:rFonts w:hint="eastAsia"/>
          <w:b/>
          <w:bCs/>
          <w:szCs w:val="20"/>
          <w:lang w:val="en-US" w:eastAsia="zh-CN"/>
        </w:rPr>
        <w:t>a circular area</w:t>
      </w:r>
      <w:r>
        <w:rPr>
          <w:rFonts w:hint="default"/>
          <w:b/>
          <w:bCs/>
          <w:szCs w:val="20"/>
          <w:lang w:val="en-US" w:eastAsia="zh-CN"/>
        </w:rPr>
        <w:t xml:space="preserve"> with location coordinates of area center and radius</w:t>
      </w:r>
      <w:r>
        <w:rPr>
          <w:rFonts w:hint="eastAsia"/>
          <w:b/>
          <w:bCs/>
          <w:szCs w:val="20"/>
          <w:lang w:val="en-US" w:eastAsia="zh-CN"/>
        </w:rPr>
        <w:t>. It is up to NW</w:t>
      </w:r>
      <w:r>
        <w:rPr>
          <w:rFonts w:hint="default"/>
          <w:b/>
          <w:bCs/>
          <w:szCs w:val="20"/>
          <w:lang w:val="en-US" w:eastAsia="zh-CN"/>
        </w:rPr>
        <w:t>’</w:t>
      </w:r>
      <w:r>
        <w:rPr>
          <w:rFonts w:hint="eastAsia"/>
          <w:b/>
          <w:bCs/>
          <w:szCs w:val="20"/>
          <w:lang w:val="en-US" w:eastAsia="zh-CN"/>
        </w:rPr>
        <w:t>s implementation to aggregate one or more TN cells within the TN coverage provided.</w:t>
      </w:r>
    </w:p>
    <w:p>
      <w:pPr>
        <w:widowControl/>
        <w:numPr>
          <w:ilvl w:val="0"/>
          <w:numId w:val="0"/>
        </w:numPr>
        <w:ind w:leftChars="0"/>
        <w:rPr>
          <w:rFonts w:hint="eastAsia"/>
          <w:b/>
          <w:bCs/>
          <w:szCs w:val="20"/>
          <w:lang w:val="en-US" w:eastAsia="zh-CN"/>
        </w:rPr>
      </w:pPr>
      <w:r>
        <w:rPr>
          <w:rFonts w:hint="eastAsia"/>
          <w:b/>
          <w:bCs/>
          <w:lang w:val="en-US" w:eastAsia="zh-CN"/>
        </w:rPr>
        <w:t xml:space="preserve">Proposal 1b: If ellipse-shape is used to describe Tn coverage, the TN </w:t>
      </w:r>
      <w:r>
        <w:rPr>
          <w:rFonts w:hint="default"/>
          <w:b/>
          <w:bCs/>
          <w:szCs w:val="20"/>
          <w:lang w:val="en-US" w:eastAsia="zh-CN"/>
        </w:rPr>
        <w:t xml:space="preserve">area information </w:t>
      </w:r>
      <w:r>
        <w:rPr>
          <w:rFonts w:hint="eastAsia"/>
          <w:b/>
          <w:bCs/>
          <w:szCs w:val="20"/>
          <w:lang w:val="en-US" w:eastAsia="zh-CN"/>
        </w:rPr>
        <w:t>includes a location coordinates of ellipse center, a half length of major axis, a half length of minor axis, and a angle information. It is up to NW</w:t>
      </w:r>
      <w:r>
        <w:rPr>
          <w:rFonts w:hint="default"/>
          <w:b/>
          <w:bCs/>
          <w:szCs w:val="20"/>
          <w:lang w:val="en-US" w:eastAsia="zh-CN"/>
        </w:rPr>
        <w:t>’</w:t>
      </w:r>
      <w:r>
        <w:rPr>
          <w:rFonts w:hint="eastAsia"/>
          <w:b/>
          <w:bCs/>
          <w:szCs w:val="20"/>
          <w:lang w:val="en-US" w:eastAsia="zh-CN"/>
        </w:rPr>
        <w:t>s implementation to aggregate one or more TN cells within the TN coverage provided.</w:t>
      </w:r>
    </w:p>
    <w:p>
      <w:pPr>
        <w:widowControl/>
        <w:numPr>
          <w:ilvl w:val="0"/>
          <w:numId w:val="0"/>
        </w:numPr>
        <w:ind w:leftChars="0"/>
        <w:rPr>
          <w:rFonts w:hint="eastAsia"/>
          <w:b w:val="0"/>
          <w:bCs w:val="0"/>
          <w:szCs w:val="20"/>
          <w:lang w:val="en-US" w:eastAsia="zh-CN"/>
        </w:rPr>
      </w:pPr>
      <w:r>
        <w:rPr>
          <w:rFonts w:hint="eastAsia"/>
          <w:b w:val="0"/>
          <w:bCs w:val="0"/>
          <w:szCs w:val="20"/>
          <w:lang w:val="en-US" w:eastAsia="zh-CN"/>
        </w:rPr>
        <w:t>It is agreed that broadcast is a basic means to provide TN coverage , and it is only used when UE is camping on NTN serving cell. It is straightforward to consider SIB19 for providing the TN coverage information.</w:t>
      </w:r>
    </w:p>
    <w:p>
      <w:pPr>
        <w:widowControl/>
        <w:numPr>
          <w:ilvl w:val="0"/>
          <w:numId w:val="0"/>
        </w:numPr>
        <w:ind w:leftChars="0"/>
        <w:rPr>
          <w:rFonts w:hint="default"/>
          <w:b/>
          <w:bCs/>
          <w:lang w:val="en-US" w:eastAsia="zh-CN"/>
        </w:rPr>
      </w:pPr>
      <w:r>
        <w:rPr>
          <w:rFonts w:hint="eastAsia"/>
          <w:b/>
          <w:bCs/>
          <w:lang w:val="en-US" w:eastAsia="zh-CN"/>
        </w:rPr>
        <w:t>Proposal 2: SIB19 is used to provide the TN coverage information to UE.</w:t>
      </w:r>
    </w:p>
    <w:p>
      <w:pPr>
        <w:pStyle w:val="3"/>
        <w:bidi w:val="0"/>
        <w:ind w:left="0" w:leftChars="0" w:firstLine="0" w:firstLineChars="0"/>
        <w:rPr>
          <w:rFonts w:hint="default" w:ascii="Arial" w:hAnsi="Arial" w:eastAsia="Times New Roman"/>
          <w:lang w:val="en-US" w:eastAsia="zh-CN"/>
        </w:rPr>
      </w:pPr>
      <w:r>
        <w:rPr>
          <w:rFonts w:hint="eastAsia" w:ascii="Arial" w:hAnsi="Arial" w:eastAsia="Times New Roman"/>
          <w:lang w:val="en-US" w:eastAsia="zh-CN"/>
        </w:rPr>
        <w:t>2.2. Measurement relaxation based on NW type</w:t>
      </w:r>
    </w:p>
    <w:p>
      <w:pPr>
        <w:rPr>
          <w:rFonts w:hint="eastAsia"/>
          <w:szCs w:val="20"/>
          <w:lang w:val="en-US" w:eastAsia="zh-CN"/>
        </w:rPr>
      </w:pPr>
      <w:r>
        <w:rPr>
          <w:rFonts w:hint="eastAsia"/>
          <w:lang w:val="en-US" w:eastAsia="zh-CN"/>
        </w:rPr>
        <w:t xml:space="preserve">In last meeting it has been agreed that RAN2 will not further pursue </w:t>
      </w:r>
      <w:r>
        <w:rPr>
          <w:rFonts w:hint="default"/>
          <w:szCs w:val="20"/>
          <w:lang w:val="en-US" w:eastAsia="zh-CN"/>
        </w:rPr>
        <w:t xml:space="preserve">additional cell reselection prioritization rules for NTN vs TN in Rel-18 (e.g. per service type, per mobility state, or per UE type) </w:t>
      </w:r>
      <w:r>
        <w:rPr>
          <w:rFonts w:hint="eastAsia"/>
          <w:szCs w:val="20"/>
          <w:lang w:val="en-US" w:eastAsia="zh-CN"/>
        </w:rPr>
        <w:t xml:space="preserve">, but it is still possible to consider additional measurement relaxation rules based on NW type for power saving purpose. </w:t>
      </w:r>
      <w:bookmarkStart w:id="4" w:name="OLE_LINK2"/>
      <w:r>
        <w:rPr>
          <w:rFonts w:hint="eastAsia"/>
          <w:szCs w:val="20"/>
          <w:lang w:val="en-US" w:eastAsia="zh-CN"/>
        </w:rPr>
        <w:t>Current agreed measurement relaxation rules assisted by TN coverage information requires NTN and TN coordination, which may not always fulfilled when NTN and TN is served by different operators.</w:t>
      </w:r>
    </w:p>
    <w:p>
      <w:pPr>
        <w:rPr>
          <w:rFonts w:hint="eastAsia"/>
          <w:b/>
          <w:bCs/>
          <w:szCs w:val="20"/>
          <w:lang w:val="en-US" w:eastAsia="zh-CN"/>
        </w:rPr>
      </w:pPr>
      <w:r>
        <w:rPr>
          <w:rFonts w:hint="eastAsia"/>
          <w:b/>
          <w:bCs/>
          <w:szCs w:val="20"/>
          <w:lang w:val="en-US" w:eastAsia="zh-CN"/>
        </w:rPr>
        <w:t>Observation 6: Measurement relaxation rules assisted by TN coverage information requires NTN and TN coordination, which may not always available, e.g., when NTN and TN is served by different operators.</w:t>
      </w:r>
    </w:p>
    <w:p>
      <w:pPr>
        <w:rPr>
          <w:rFonts w:hint="default"/>
          <w:szCs w:val="20"/>
          <w:lang w:val="en-US" w:eastAsia="zh-CN"/>
        </w:rPr>
      </w:pPr>
      <w:r>
        <w:rPr>
          <w:rFonts w:hint="eastAsia"/>
          <w:szCs w:val="20"/>
          <w:lang w:val="en-US" w:eastAsia="zh-CN"/>
        </w:rPr>
        <w:t xml:space="preserve">For cases mentioned above, UE will blindly search cells on other NW type continuously on the configured neighboring cell frequency since no TN coverage information can be provided by NW, while NW may still want to relax UE measurement on other NW type. A solution to resolve this issue can be introduce a configurable autonomous cell search to other NW type. </w:t>
      </w:r>
    </w:p>
    <w:p>
      <w:pPr>
        <w:rPr>
          <w:rFonts w:hint="eastAsia"/>
          <w:lang w:val="en-US" w:eastAsia="zh-CN"/>
        </w:rPr>
      </w:pPr>
      <w:r>
        <w:rPr>
          <w:rFonts w:hint="eastAsia"/>
          <w:szCs w:val="20"/>
          <w:lang w:val="en-US" w:eastAsia="zh-CN"/>
        </w:rPr>
        <w:t>For example, a</w:t>
      </w:r>
      <w:r>
        <w:t xml:space="preserve">n indication can be sent from the camped </w:t>
      </w:r>
      <w:r>
        <w:rPr>
          <w:rFonts w:hint="eastAsia"/>
          <w:lang w:val="en-US" w:eastAsia="zh-CN"/>
        </w:rPr>
        <w:t>N</w:t>
      </w:r>
      <w:r>
        <w:t>TN cell to UE to enable autonomous search for TN cells. UE will then decide when and/or where to search for a TN cell by implementation. For example, UE can perform measurements on the visited TN cells or frequencies to see if there is any TN cell nearby. If one or more TN cells are found by UE, UE in RRC_IDLE or RRC_INACTIVE can decide to re-select to a found TN cell while UE in RRC_CONNECTED can send a proximity indication to NW so that NW would be aware of the coverage of another network type and configure measurements accordingly</w:t>
      </w:r>
      <w:r>
        <w:rPr>
          <w:rFonts w:hint="eastAsia"/>
          <w:lang w:val="en-US" w:eastAsia="zh-CN"/>
        </w:rPr>
        <w:t xml:space="preserve"> as well as collect the coverage information from other NW type. </w:t>
      </w:r>
    </w:p>
    <w:p>
      <w:pPr>
        <w:rPr>
          <w:rFonts w:hint="eastAsia"/>
          <w:lang w:val="en-US" w:eastAsia="zh-CN"/>
        </w:rPr>
      </w:pPr>
      <w:r>
        <w:rPr>
          <w:rFonts w:hint="eastAsia"/>
          <w:lang w:val="en-US" w:eastAsia="zh-CN"/>
        </w:rPr>
        <w:t xml:space="preserve">Since the autonomous cell search to another NW type is configurable by NW, and with one time collection of the coverage information from other NW type (e.g., TN), this information can be used subsequently for configuring UE with measurement relaxation based on the TN coverage, the overall power consumption can still be reduced. </w:t>
      </w:r>
    </w:p>
    <w:p>
      <w:pPr>
        <w:rPr>
          <w:rFonts w:hint="eastAsia"/>
          <w:b/>
          <w:bCs/>
          <w:lang w:val="en-US" w:eastAsia="zh-CN"/>
        </w:rPr>
      </w:pPr>
      <w:r>
        <w:rPr>
          <w:rFonts w:hint="eastAsia"/>
          <w:b/>
          <w:bCs/>
          <w:lang w:val="en-US" w:eastAsia="zh-CN"/>
        </w:rPr>
        <w:t xml:space="preserve">Observation 7: By configuring UE to autonomous search for cells to another NW type, NW can collect the coverage information from other NW type. And with one-time collection, the information can be used subsequently for configuring UE measurement relaxation based on TN coverage information. </w:t>
      </w:r>
    </w:p>
    <w:p>
      <w:pPr>
        <w:rPr>
          <w:bCs/>
          <w:kern w:val="0"/>
          <w:szCs w:val="20"/>
        </w:rPr>
      </w:pPr>
      <w:r>
        <w:rPr>
          <w:rFonts w:hint="eastAsia"/>
          <w:b w:val="0"/>
          <w:bCs w:val="0"/>
          <w:lang w:val="en-US" w:eastAsia="zh-CN"/>
        </w:rPr>
        <w:t xml:space="preserve">Therefore, it is proposed to adopt autonomous cell search to another NW type as supplementary solution to UE measurement relaxation based on TN coverage. Considering the same requirement might exist when UE is camped on TN cells, and NW would like to relax the NTN cells when there is no TNT coverage, and the required signalling for both cases are similar, for future proofing, the autonomous search function can be introduced in both directions (from NTN to TN or from TN to NTN.) </w:t>
      </w:r>
      <w:r>
        <w:rPr>
          <w:bCs/>
          <w:kern w:val="0"/>
          <w:szCs w:val="20"/>
        </w:rPr>
        <w:t xml:space="preserve">With the above consideration, </w:t>
      </w:r>
      <w:r>
        <w:rPr>
          <w:rFonts w:hint="eastAsia"/>
          <w:bCs/>
          <w:kern w:val="0"/>
          <w:szCs w:val="20"/>
        </w:rPr>
        <w:t>below proposals are made:</w:t>
      </w:r>
    </w:p>
    <w:p>
      <w:pPr>
        <w:rPr>
          <w:b/>
          <w:bCs/>
          <w:szCs w:val="20"/>
        </w:rPr>
      </w:pPr>
      <w:r>
        <w:rPr>
          <w:b/>
          <w:bCs/>
          <w:szCs w:val="20"/>
        </w:rPr>
        <w:t>Proposal</w:t>
      </w:r>
      <w:r>
        <w:rPr>
          <w:rFonts w:hint="eastAsia"/>
          <w:b/>
          <w:bCs/>
          <w:szCs w:val="20"/>
        </w:rPr>
        <w:t xml:space="preserve"> </w:t>
      </w:r>
      <w:r>
        <w:rPr>
          <w:rFonts w:hint="eastAsia"/>
          <w:b/>
          <w:bCs/>
          <w:szCs w:val="20"/>
          <w:lang w:val="en-US" w:eastAsia="zh-CN"/>
        </w:rPr>
        <w:t>3</w:t>
      </w:r>
      <w:r>
        <w:rPr>
          <w:b/>
          <w:bCs/>
          <w:szCs w:val="20"/>
        </w:rPr>
        <w:t xml:space="preserve">: An indication is provided from the camped cell to UE to enable autonomous search function for cells of another network type, e.g. TN or NTN. </w:t>
      </w:r>
    </w:p>
    <w:p>
      <w:pPr>
        <w:rPr>
          <w:b/>
          <w:bCs/>
          <w:szCs w:val="20"/>
        </w:rPr>
      </w:pPr>
      <w:r>
        <w:rPr>
          <w:b/>
          <w:bCs/>
          <w:szCs w:val="20"/>
        </w:rPr>
        <w:t xml:space="preserve">Proposal </w:t>
      </w:r>
      <w:r>
        <w:rPr>
          <w:rFonts w:hint="eastAsia"/>
          <w:b/>
          <w:bCs/>
          <w:szCs w:val="20"/>
          <w:lang w:val="en-US" w:eastAsia="zh-CN"/>
        </w:rPr>
        <w:t>4</w:t>
      </w:r>
      <w:r>
        <w:rPr>
          <w:b/>
          <w:bCs/>
          <w:szCs w:val="20"/>
        </w:rPr>
        <w:t>: For UE in RRC_CONNECTED, a proximity indication can be sent to the network to indicate that the UE is entering or leaving the proximity of one or more cells of another network type which are detected based on autonomous search function.</w:t>
      </w:r>
    </w:p>
    <w:p>
      <w:pPr>
        <w:pStyle w:val="68"/>
        <w:widowControl/>
        <w:ind w:firstLine="0" w:firstLineChars="0"/>
        <w:jc w:val="left"/>
        <w:rPr>
          <w:rFonts w:ascii="Arial" w:hAnsi="Arial" w:cs="Arial"/>
          <w:b/>
          <w:szCs w:val="20"/>
        </w:rPr>
      </w:pPr>
    </w:p>
    <w:bookmarkEnd w:id="3"/>
    <w:bookmarkEnd w:id="4"/>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rPr>
          <w:rFonts w:ascii="Arial" w:hAnsi="Arial" w:cs="Arial"/>
          <w:bCs/>
          <w:kern w:val="0"/>
          <w:szCs w:val="20"/>
        </w:rPr>
      </w:pPr>
      <w:r>
        <w:rPr>
          <w:rFonts w:ascii="Arial" w:hAnsi="Arial" w:cs="Arial"/>
          <w:bCs/>
          <w:kern w:val="0"/>
          <w:szCs w:val="20"/>
        </w:rPr>
        <w:t xml:space="preserve">Based on the analysis in previous sections, the following </w:t>
      </w:r>
      <w:r>
        <w:rPr>
          <w:rFonts w:hint="eastAsia" w:ascii="Arial" w:hAnsi="Arial" w:cs="Arial"/>
          <w:bCs/>
          <w:kern w:val="0"/>
          <w:szCs w:val="20"/>
        </w:rPr>
        <w:t xml:space="preserve">observations and </w:t>
      </w:r>
      <w:r>
        <w:rPr>
          <w:rFonts w:ascii="Arial" w:hAnsi="Arial" w:cs="Arial"/>
          <w:bCs/>
          <w:kern w:val="0"/>
          <w:szCs w:val="20"/>
        </w:rPr>
        <w:t xml:space="preserve">proposals are given: </w:t>
      </w:r>
    </w:p>
    <w:p>
      <w:pPr>
        <w:widowControl/>
        <w:numPr>
          <w:ilvl w:val="0"/>
          <w:numId w:val="0"/>
        </w:numPr>
        <w:ind w:leftChars="0"/>
        <w:rPr>
          <w:rFonts w:hint="default"/>
          <w:b w:val="0"/>
          <w:bCs w:val="0"/>
          <w:i/>
          <w:iCs/>
          <w:lang w:val="en-US" w:eastAsia="zh-CN"/>
        </w:rPr>
      </w:pPr>
      <w:r>
        <w:rPr>
          <w:rFonts w:hint="eastAsia"/>
          <w:b w:val="0"/>
          <w:bCs w:val="0"/>
          <w:i/>
          <w:iCs/>
          <w:lang w:val="en-US" w:eastAsia="zh-CN"/>
        </w:rPr>
        <w:t>Observation 1: For measurement relaxation purpose, there is no need to always provide TN coverage  in cell level, which can reduce signalling overhead as well as avoid concerns on exposing BS location.</w:t>
      </w:r>
    </w:p>
    <w:p>
      <w:pPr>
        <w:widowControl/>
        <w:numPr>
          <w:ilvl w:val="0"/>
          <w:numId w:val="0"/>
        </w:numPr>
        <w:ind w:leftChars="0"/>
        <w:rPr>
          <w:rFonts w:hint="default"/>
          <w:b w:val="0"/>
          <w:bCs w:val="0"/>
          <w:i/>
          <w:iCs/>
          <w:lang w:val="en-US" w:eastAsia="zh-CN"/>
        </w:rPr>
      </w:pPr>
      <w:r>
        <w:rPr>
          <w:rFonts w:hint="eastAsia"/>
          <w:b w:val="0"/>
          <w:bCs w:val="0"/>
          <w:i/>
          <w:iCs/>
          <w:lang w:val="en-US" w:eastAsia="zh-CN"/>
        </w:rPr>
        <w:t>Observation 2: Option 1 can provide circular TN coverage which includes one or multiple TN cells, where the required signalling overhead includes the overhead to indicate a reference location coordinate and a distance threshold.</w:t>
      </w:r>
    </w:p>
    <w:p>
      <w:pPr>
        <w:widowControl/>
        <w:numPr>
          <w:ilvl w:val="0"/>
          <w:numId w:val="0"/>
        </w:numPr>
        <w:ind w:leftChars="0"/>
        <w:rPr>
          <w:rFonts w:hint="eastAsia"/>
          <w:b w:val="0"/>
          <w:bCs w:val="0"/>
          <w:i/>
          <w:iCs/>
          <w:lang w:val="en-US" w:eastAsia="zh-CN"/>
        </w:rPr>
      </w:pPr>
      <w:r>
        <w:rPr>
          <w:rFonts w:hint="eastAsia"/>
          <w:b w:val="0"/>
          <w:bCs w:val="0"/>
          <w:i/>
          <w:iCs/>
          <w:lang w:val="en-US" w:eastAsia="zh-CN"/>
        </w:rPr>
        <w:t>Observation 3: Both Option 2 and option 6 use a list of coordinates (at least 2 is needed) to indicate the TN coverage, where the higher the accuracy requirement is the more signalling overhead is required.</w:t>
      </w:r>
    </w:p>
    <w:p>
      <w:pPr>
        <w:widowControl/>
        <w:numPr>
          <w:ilvl w:val="0"/>
          <w:numId w:val="0"/>
        </w:numPr>
        <w:ind w:leftChars="0"/>
        <w:rPr>
          <w:rFonts w:hint="eastAsia"/>
          <w:b w:val="0"/>
          <w:bCs w:val="0"/>
          <w:i/>
          <w:iCs/>
          <w:lang w:val="en-US" w:eastAsia="zh-CN"/>
        </w:rPr>
      </w:pPr>
      <w:r>
        <w:rPr>
          <w:rFonts w:hint="eastAsia"/>
          <w:b w:val="0"/>
          <w:bCs w:val="0"/>
          <w:i/>
          <w:iCs/>
          <w:lang w:val="en-US" w:eastAsia="zh-CN"/>
        </w:rPr>
        <w:t>Observation 4: Option 2/6 requires much more signalling overhead while the improved TN coverage accuracy is not obvious. And option2/6 require extra complexity in implementation since NW needs to carefully selects the coordinates along the TN coverage edge.</w:t>
      </w:r>
    </w:p>
    <w:p>
      <w:pPr>
        <w:widowControl/>
        <w:numPr>
          <w:ilvl w:val="0"/>
          <w:numId w:val="0"/>
        </w:numPr>
        <w:ind w:leftChars="0"/>
        <w:rPr>
          <w:rFonts w:hint="default"/>
          <w:b w:val="0"/>
          <w:bCs w:val="0"/>
          <w:i/>
          <w:iCs/>
          <w:lang w:val="en-US" w:eastAsia="zh-CN"/>
        </w:rPr>
      </w:pPr>
      <w:r>
        <w:rPr>
          <w:rFonts w:hint="eastAsia"/>
          <w:b w:val="0"/>
          <w:bCs w:val="0"/>
          <w:i/>
          <w:iCs/>
          <w:lang w:val="en-US" w:eastAsia="zh-CN"/>
        </w:rPr>
        <w:t>Observation 5: Compared to option 1, ellipse-like shape can be used to describe a more realistic TN coverage with higher accuracy and the additional signalling overh</w:t>
      </w:r>
      <w:bookmarkStart w:id="5" w:name="_GoBack"/>
      <w:bookmarkEnd w:id="5"/>
      <w:r>
        <w:rPr>
          <w:rFonts w:hint="eastAsia"/>
          <w:b w:val="0"/>
          <w:bCs w:val="0"/>
          <w:i/>
          <w:iCs/>
          <w:lang w:val="en-US" w:eastAsia="zh-CN"/>
        </w:rPr>
        <w:t>ead is not so huge (one additional distance threshold and one angle information).</w:t>
      </w:r>
    </w:p>
    <w:p>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bCs/>
          <w:lang w:val="en-US" w:eastAsia="zh-CN"/>
        </w:rPr>
      </w:pPr>
      <w:r>
        <w:rPr>
          <w:rFonts w:hint="eastAsia"/>
          <w:b/>
          <w:bCs/>
          <w:lang w:val="en-US" w:eastAsia="zh-CN"/>
        </w:rPr>
        <w:t>Proposal 1: RAN2 discuss whether to use ellipse-shape or circle-shape to describe TN coverage.</w:t>
      </w:r>
    </w:p>
    <w:p>
      <w:pPr>
        <w:widowControl/>
        <w:numPr>
          <w:ilvl w:val="0"/>
          <w:numId w:val="0"/>
        </w:numPr>
        <w:ind w:leftChars="0"/>
        <w:rPr>
          <w:rFonts w:hint="default"/>
          <w:b w:val="0"/>
          <w:bCs w:val="0"/>
          <w:lang w:val="en-US" w:eastAsia="zh-CN"/>
        </w:rPr>
      </w:pPr>
      <w:r>
        <w:rPr>
          <w:rFonts w:hint="eastAsia"/>
          <w:b w:val="0"/>
          <w:bCs w:val="0"/>
          <w:lang w:val="en-US" w:eastAsia="zh-CN"/>
        </w:rPr>
        <w:t xml:space="preserve">Based on the outcome of P1, RAN2 agree on either P1a or P1b as given below: </w:t>
      </w:r>
    </w:p>
    <w:p>
      <w:pPr>
        <w:widowControl/>
        <w:numPr>
          <w:ilvl w:val="0"/>
          <w:numId w:val="0"/>
        </w:numPr>
        <w:ind w:leftChars="0"/>
        <w:rPr>
          <w:rFonts w:hint="eastAsia"/>
          <w:b/>
          <w:bCs/>
          <w:szCs w:val="20"/>
          <w:lang w:val="en-US" w:eastAsia="zh-CN"/>
        </w:rPr>
      </w:pPr>
      <w:r>
        <w:rPr>
          <w:rFonts w:hint="eastAsia"/>
          <w:b/>
          <w:bCs/>
          <w:lang w:val="en-US" w:eastAsia="zh-CN"/>
        </w:rPr>
        <w:t xml:space="preserve">Proposal 1a: If circle-shape is used to describe TN coverage, the TN </w:t>
      </w:r>
      <w:r>
        <w:rPr>
          <w:rFonts w:hint="default"/>
          <w:b/>
          <w:bCs/>
          <w:szCs w:val="20"/>
          <w:lang w:val="en-US" w:eastAsia="zh-CN"/>
        </w:rPr>
        <w:t xml:space="preserve">area information is </w:t>
      </w:r>
      <w:r>
        <w:rPr>
          <w:rFonts w:hint="eastAsia"/>
          <w:b/>
          <w:bCs/>
          <w:szCs w:val="20"/>
          <w:lang w:val="en-US" w:eastAsia="zh-CN"/>
        </w:rPr>
        <w:t>a circular area</w:t>
      </w:r>
      <w:r>
        <w:rPr>
          <w:rFonts w:hint="default"/>
          <w:b/>
          <w:bCs/>
          <w:szCs w:val="20"/>
          <w:lang w:val="en-US" w:eastAsia="zh-CN"/>
        </w:rPr>
        <w:t xml:space="preserve"> with location coordinates of area center and radius</w:t>
      </w:r>
      <w:r>
        <w:rPr>
          <w:rFonts w:hint="eastAsia"/>
          <w:b/>
          <w:bCs/>
          <w:szCs w:val="20"/>
          <w:lang w:val="en-US" w:eastAsia="zh-CN"/>
        </w:rPr>
        <w:t>. It is up to NW</w:t>
      </w:r>
      <w:r>
        <w:rPr>
          <w:rFonts w:hint="default"/>
          <w:b/>
          <w:bCs/>
          <w:szCs w:val="20"/>
          <w:lang w:val="en-US" w:eastAsia="zh-CN"/>
        </w:rPr>
        <w:t>’</w:t>
      </w:r>
      <w:r>
        <w:rPr>
          <w:rFonts w:hint="eastAsia"/>
          <w:b/>
          <w:bCs/>
          <w:szCs w:val="20"/>
          <w:lang w:val="en-US" w:eastAsia="zh-CN"/>
        </w:rPr>
        <w:t>s implementation to aggregate one or more TN cells within the TN coverage provided.</w:t>
      </w:r>
    </w:p>
    <w:p>
      <w:pPr>
        <w:widowControl/>
        <w:numPr>
          <w:ilvl w:val="0"/>
          <w:numId w:val="0"/>
        </w:numPr>
        <w:ind w:leftChars="0"/>
        <w:rPr>
          <w:rFonts w:hint="eastAsia"/>
          <w:b/>
          <w:bCs/>
          <w:szCs w:val="20"/>
          <w:lang w:val="en-US" w:eastAsia="zh-CN"/>
        </w:rPr>
      </w:pPr>
      <w:r>
        <w:rPr>
          <w:rFonts w:hint="eastAsia"/>
          <w:b/>
          <w:bCs/>
          <w:lang w:val="en-US" w:eastAsia="zh-CN"/>
        </w:rPr>
        <w:t xml:space="preserve">Proposal 1b: If ellipse-shape is used to describe TN coverage, the TN </w:t>
      </w:r>
      <w:r>
        <w:rPr>
          <w:rFonts w:hint="default"/>
          <w:b/>
          <w:bCs/>
          <w:szCs w:val="20"/>
          <w:lang w:val="en-US" w:eastAsia="zh-CN"/>
        </w:rPr>
        <w:t xml:space="preserve">area information </w:t>
      </w:r>
      <w:r>
        <w:rPr>
          <w:rFonts w:hint="eastAsia"/>
          <w:b/>
          <w:bCs/>
          <w:szCs w:val="20"/>
          <w:lang w:val="en-US" w:eastAsia="zh-CN"/>
        </w:rPr>
        <w:t>includes a location coordinates of ellipse center, a half length of major axis, a half length of minor axis, and a angle information. It is up to NW</w:t>
      </w:r>
      <w:r>
        <w:rPr>
          <w:rFonts w:hint="default"/>
          <w:b/>
          <w:bCs/>
          <w:szCs w:val="20"/>
          <w:lang w:val="en-US" w:eastAsia="zh-CN"/>
        </w:rPr>
        <w:t>’</w:t>
      </w:r>
      <w:r>
        <w:rPr>
          <w:rFonts w:hint="eastAsia"/>
          <w:b/>
          <w:bCs/>
          <w:szCs w:val="20"/>
          <w:lang w:val="en-US" w:eastAsia="zh-CN"/>
        </w:rPr>
        <w:t>s implementation to aggregate one or more TN cells within the TN coverage provided.</w:t>
      </w:r>
    </w:p>
    <w:p>
      <w:pPr>
        <w:widowControl/>
        <w:numPr>
          <w:ilvl w:val="0"/>
          <w:numId w:val="0"/>
        </w:numPr>
        <w:ind w:leftChars="0"/>
        <w:rPr>
          <w:rFonts w:hint="default"/>
          <w:b/>
          <w:bCs/>
          <w:lang w:val="en-US" w:eastAsia="zh-CN"/>
        </w:rPr>
      </w:pPr>
      <w:r>
        <w:rPr>
          <w:rFonts w:hint="eastAsia"/>
          <w:b/>
          <w:bCs/>
          <w:lang w:val="en-US" w:eastAsia="zh-CN"/>
        </w:rPr>
        <w:t>Proposal 2: SIB19 is used to provide the TN coverage information to UE.</w:t>
      </w:r>
    </w:p>
    <w:p>
      <w:pPr>
        <w:rPr>
          <w:rFonts w:hint="eastAsia"/>
          <w:b w:val="0"/>
          <w:bCs w:val="0"/>
          <w:i/>
          <w:iCs/>
          <w:szCs w:val="20"/>
          <w:lang w:val="en-US" w:eastAsia="zh-CN"/>
        </w:rPr>
      </w:pPr>
      <w:r>
        <w:rPr>
          <w:rFonts w:hint="eastAsia"/>
          <w:b w:val="0"/>
          <w:bCs w:val="0"/>
          <w:i/>
          <w:iCs/>
          <w:szCs w:val="20"/>
          <w:lang w:val="en-US" w:eastAsia="zh-CN"/>
        </w:rPr>
        <w:t>Observation 7: Measurement relaxation rules assisted by TN coverage information requires NTN and TN coordination, which may not always available, e.g., when NTN and TN is served by different operators.</w:t>
      </w:r>
    </w:p>
    <w:p>
      <w:pPr>
        <w:rPr>
          <w:rFonts w:hint="eastAsia"/>
          <w:b/>
          <w:bCs/>
          <w:lang w:val="en-US" w:eastAsia="zh-CN"/>
        </w:rPr>
      </w:pPr>
      <w:r>
        <w:rPr>
          <w:rFonts w:hint="eastAsia"/>
          <w:b w:val="0"/>
          <w:bCs w:val="0"/>
          <w:i/>
          <w:iCs/>
          <w:lang w:val="en-US" w:eastAsia="zh-CN"/>
        </w:rPr>
        <w:t>Observation 8: By configuring UE to autonomous search for cells to another NW type, NW can collect the coverage information from other NW type.  And with one-time collection, the information can be used subsequently for configuring UE measurement relaxation based on TN coverage information.</w:t>
      </w:r>
      <w:r>
        <w:rPr>
          <w:rFonts w:hint="eastAsia"/>
          <w:b/>
          <w:bCs/>
          <w:lang w:val="en-US" w:eastAsia="zh-CN"/>
        </w:rPr>
        <w:t xml:space="preserve"> </w:t>
      </w:r>
    </w:p>
    <w:p>
      <w:pPr>
        <w:rPr>
          <w:b/>
          <w:bCs/>
          <w:szCs w:val="20"/>
        </w:rPr>
      </w:pPr>
      <w:r>
        <w:rPr>
          <w:b/>
          <w:bCs/>
          <w:szCs w:val="20"/>
        </w:rPr>
        <w:t>Proposal</w:t>
      </w:r>
      <w:r>
        <w:rPr>
          <w:rFonts w:hint="eastAsia"/>
          <w:b/>
          <w:bCs/>
          <w:szCs w:val="20"/>
        </w:rPr>
        <w:t xml:space="preserve"> </w:t>
      </w:r>
      <w:r>
        <w:rPr>
          <w:rFonts w:hint="eastAsia"/>
          <w:b/>
          <w:bCs/>
          <w:szCs w:val="20"/>
          <w:lang w:val="en-US" w:eastAsia="zh-CN"/>
        </w:rPr>
        <w:t>3</w:t>
      </w:r>
      <w:r>
        <w:rPr>
          <w:b/>
          <w:bCs/>
          <w:szCs w:val="20"/>
        </w:rPr>
        <w:t xml:space="preserve">: An indication is provided from the camped cell to UE to enable autonomous search function for cells of another network type, e.g. TN or NTN. </w:t>
      </w:r>
    </w:p>
    <w:p>
      <w:pPr>
        <w:rPr>
          <w:b/>
          <w:bCs/>
          <w:szCs w:val="20"/>
        </w:rPr>
      </w:pPr>
      <w:r>
        <w:rPr>
          <w:b/>
          <w:bCs/>
          <w:szCs w:val="20"/>
        </w:rPr>
        <w:t xml:space="preserve">Proposal </w:t>
      </w:r>
      <w:r>
        <w:rPr>
          <w:rFonts w:hint="eastAsia"/>
          <w:b/>
          <w:bCs/>
          <w:szCs w:val="20"/>
          <w:lang w:val="en-US" w:eastAsia="zh-CN"/>
        </w:rPr>
        <w:t>4</w:t>
      </w:r>
      <w:r>
        <w:rPr>
          <w:b/>
          <w:bCs/>
          <w:szCs w:val="20"/>
        </w:rPr>
        <w:t>: For UE in RRC_CONNECTED, a proximity indication can be sent to the network to indicate that the UE is entering or leaving the proximity of one or more cells of another network type which are detected based on autonomous search function.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sectPr>
          <w:headerReference r:id="rId3" w:type="default"/>
          <w:footerReference r:id="rId4" w:type="default"/>
          <w:footerReference r:id="rId5" w:type="even"/>
          <w:pgSz w:w="11906" w:h="16838"/>
          <w:pgMar w:top="1440" w:right="1440" w:bottom="1440" w:left="1417" w:header="851" w:footer="992" w:gutter="0"/>
          <w:cols w:space="720" w:num="1"/>
          <w:docGrid w:type="lines" w:linePitch="312" w:charSpace="0"/>
        </w:sect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rPr>
          <w:rFonts w:hint="default" w:ascii="Times New Roman" w:hAnsi="Times New Roman" w:cs="Times New Roman"/>
          <w:bCs/>
          <w:kern w:val="0"/>
          <w:szCs w:val="20"/>
        </w:rPr>
      </w:pPr>
      <w:r>
        <w:rPr>
          <w:rFonts w:hint="default" w:ascii="Times New Roman" w:hAnsi="Times New Roman" w:cs="Times New Roman"/>
          <w:bCs/>
          <w:kern w:val="0"/>
          <w:szCs w:val="20"/>
        </w:rPr>
        <w:t>[1] R2-2301901</w:t>
      </w:r>
      <w:r>
        <w:rPr>
          <w:rFonts w:hint="default" w:ascii="Times New Roman" w:hAnsi="Times New Roman" w:cs="Times New Roman"/>
          <w:bCs/>
          <w:kern w:val="0"/>
          <w:szCs w:val="20"/>
        </w:rPr>
        <w:tab/>
      </w:r>
      <w:r>
        <w:rPr>
          <w:rFonts w:hint="default" w:ascii="Times New Roman" w:hAnsi="Times New Roman" w:cs="Times New Roman"/>
          <w:bCs/>
          <w:kern w:val="0"/>
          <w:szCs w:val="20"/>
        </w:rPr>
        <w:t>Report from Break-Out Session on NTN, IoT NTN and RedCap</w:t>
      </w:r>
      <w:r>
        <w:rPr>
          <w:rFonts w:hint="default" w:ascii="Times New Roman" w:hAnsi="Times New Roman" w:cs="Times New Roman"/>
          <w:bCs/>
          <w:kern w:val="0"/>
          <w:szCs w:val="20"/>
        </w:rPr>
        <w:tab/>
      </w:r>
      <w:r>
        <w:rPr>
          <w:rFonts w:hint="default" w:ascii="Times New Roman" w:hAnsi="Times New Roman" w:cs="Times New Roman"/>
          <w:bCs/>
          <w:kern w:val="0"/>
          <w:szCs w:val="20"/>
        </w:rPr>
        <w:t>Vice Chairman (ZTE)</w:t>
      </w:r>
      <w:r>
        <w:rPr>
          <w:rFonts w:hint="default" w:ascii="Times New Roman" w:hAnsi="Times New Roman" w:cs="Times New Roman"/>
          <w:bCs/>
          <w:kern w:val="0"/>
          <w:szCs w:val="20"/>
        </w:rPr>
        <w:tab/>
      </w:r>
      <w:r>
        <w:rPr>
          <w:rFonts w:hint="default" w:ascii="Times New Roman" w:hAnsi="Times New Roman" w:cs="Times New Roman"/>
          <w:bCs/>
          <w:kern w:val="0"/>
          <w:szCs w:val="20"/>
        </w:rPr>
        <w:t>Report</w:t>
      </w:r>
    </w:p>
    <w:p>
      <w:pPr>
        <w:rPr>
          <w:rFonts w:ascii="Arial" w:hAnsi="Arial" w:cs="Arial"/>
          <w:bCs/>
          <w:kern w:val="0"/>
          <w:szCs w:val="20"/>
        </w:rPr>
      </w:pPr>
    </w:p>
    <w:sectPr>
      <w:pgSz w:w="11906" w:h="16838"/>
      <w:pgMar w:top="1440" w:right="1440"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80D028D"/>
    <w:multiLevelType w:val="singleLevel"/>
    <w:tmpl w:val="380D028D"/>
    <w:lvl w:ilvl="0" w:tentative="0">
      <w:start w:val="1"/>
      <w:numFmt w:val="bullet"/>
      <w:lvlText w:val=""/>
      <w:lvlJc w:val="left"/>
      <w:pPr>
        <w:ind w:left="420" w:hanging="420"/>
      </w:pPr>
      <w:rPr>
        <w:rFonts w:hint="default" w:ascii="Wingdings" w:hAnsi="Wingdings"/>
      </w:r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84D244"/>
    <w:multiLevelType w:val="singleLevel"/>
    <w:tmpl w:val="5884D244"/>
    <w:lvl w:ilvl="0" w:tentative="0">
      <w:start w:val="1"/>
      <w:numFmt w:val="decimal"/>
      <w:suff w:val="space"/>
      <w:lvlText w:val="%1."/>
      <w:lvlJc w:val="left"/>
    </w:lvl>
  </w:abstractNum>
  <w:abstractNum w:abstractNumId="5">
    <w:nsid w:val="6BBE14BE"/>
    <w:multiLevelType w:val="singleLevel"/>
    <w:tmpl w:val="6BBE14BE"/>
    <w:lvl w:ilvl="0" w:tentative="0">
      <w:start w:val="1"/>
      <w:numFmt w:val="decimal"/>
      <w:lvlText w:val="%1."/>
      <w:lvlJc w:val="left"/>
      <w:pPr>
        <w:tabs>
          <w:tab w:val="left" w:pos="312"/>
        </w:tabs>
      </w:p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2B43"/>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6785"/>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9FD"/>
    <w:rsid w:val="000E0C43"/>
    <w:rsid w:val="000E1125"/>
    <w:rsid w:val="000E1993"/>
    <w:rsid w:val="000E3B8A"/>
    <w:rsid w:val="000E5499"/>
    <w:rsid w:val="000E58FE"/>
    <w:rsid w:val="000E6390"/>
    <w:rsid w:val="000E7A4B"/>
    <w:rsid w:val="000F0022"/>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4F4"/>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319"/>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4F1"/>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5EBF"/>
    <w:rsid w:val="00286D9E"/>
    <w:rsid w:val="0029036D"/>
    <w:rsid w:val="00290E18"/>
    <w:rsid w:val="00290FA9"/>
    <w:rsid w:val="00291D54"/>
    <w:rsid w:val="00293A6E"/>
    <w:rsid w:val="00295507"/>
    <w:rsid w:val="00295842"/>
    <w:rsid w:val="00296302"/>
    <w:rsid w:val="00297A88"/>
    <w:rsid w:val="00297E40"/>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6DDC"/>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264"/>
    <w:rsid w:val="00310544"/>
    <w:rsid w:val="003110B2"/>
    <w:rsid w:val="00311F3D"/>
    <w:rsid w:val="00312C1A"/>
    <w:rsid w:val="00312DD1"/>
    <w:rsid w:val="00313308"/>
    <w:rsid w:val="0031414B"/>
    <w:rsid w:val="00314283"/>
    <w:rsid w:val="003144CA"/>
    <w:rsid w:val="00315418"/>
    <w:rsid w:val="00316470"/>
    <w:rsid w:val="00316E20"/>
    <w:rsid w:val="003171FD"/>
    <w:rsid w:val="00321077"/>
    <w:rsid w:val="00321692"/>
    <w:rsid w:val="00322390"/>
    <w:rsid w:val="003228D4"/>
    <w:rsid w:val="00322E28"/>
    <w:rsid w:val="00322EDB"/>
    <w:rsid w:val="003248F8"/>
    <w:rsid w:val="0032533C"/>
    <w:rsid w:val="003268BB"/>
    <w:rsid w:val="003275E3"/>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6A5E"/>
    <w:rsid w:val="003D7035"/>
    <w:rsid w:val="003D770D"/>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8ED"/>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3FC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5F7"/>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3A7"/>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4F6A"/>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4755B"/>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38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2C98"/>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308A"/>
    <w:rsid w:val="006D4067"/>
    <w:rsid w:val="006D436D"/>
    <w:rsid w:val="006D4742"/>
    <w:rsid w:val="006D5430"/>
    <w:rsid w:val="006D614B"/>
    <w:rsid w:val="006D63EF"/>
    <w:rsid w:val="006D7C19"/>
    <w:rsid w:val="006D7CA8"/>
    <w:rsid w:val="006D7DC0"/>
    <w:rsid w:val="006E0220"/>
    <w:rsid w:val="006E0863"/>
    <w:rsid w:val="006E1867"/>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EC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82C"/>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063"/>
    <w:rsid w:val="0074088F"/>
    <w:rsid w:val="00741230"/>
    <w:rsid w:val="00742659"/>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9A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C74D0"/>
    <w:rsid w:val="007D1324"/>
    <w:rsid w:val="007D1769"/>
    <w:rsid w:val="007D2587"/>
    <w:rsid w:val="007D36F2"/>
    <w:rsid w:val="007D405E"/>
    <w:rsid w:val="007D4D85"/>
    <w:rsid w:val="007D5695"/>
    <w:rsid w:val="007D59EE"/>
    <w:rsid w:val="007D5A25"/>
    <w:rsid w:val="007E014C"/>
    <w:rsid w:val="007E0813"/>
    <w:rsid w:val="007E0BC6"/>
    <w:rsid w:val="007E0F24"/>
    <w:rsid w:val="007E14CD"/>
    <w:rsid w:val="007E17B1"/>
    <w:rsid w:val="007E27C0"/>
    <w:rsid w:val="007E2BFA"/>
    <w:rsid w:val="007E2EFD"/>
    <w:rsid w:val="007E417F"/>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5891"/>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BB0"/>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680"/>
    <w:rsid w:val="00842AA3"/>
    <w:rsid w:val="00843379"/>
    <w:rsid w:val="008436F0"/>
    <w:rsid w:val="00843DAA"/>
    <w:rsid w:val="00843F40"/>
    <w:rsid w:val="00845DB8"/>
    <w:rsid w:val="00845E4F"/>
    <w:rsid w:val="00846BE0"/>
    <w:rsid w:val="008470CC"/>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8A1"/>
    <w:rsid w:val="008B0FDB"/>
    <w:rsid w:val="008B2AF7"/>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B2"/>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350F"/>
    <w:rsid w:val="008F4502"/>
    <w:rsid w:val="008F45D4"/>
    <w:rsid w:val="008F662A"/>
    <w:rsid w:val="00900370"/>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44D"/>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42E6"/>
    <w:rsid w:val="009E619C"/>
    <w:rsid w:val="009E7020"/>
    <w:rsid w:val="009E7045"/>
    <w:rsid w:val="009E748B"/>
    <w:rsid w:val="009F012C"/>
    <w:rsid w:val="009F13FE"/>
    <w:rsid w:val="009F2244"/>
    <w:rsid w:val="009F2E2F"/>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FF9"/>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12B9"/>
    <w:rsid w:val="00A624EA"/>
    <w:rsid w:val="00A63ABE"/>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616"/>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1FEF"/>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2EF4"/>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2A1C"/>
    <w:rsid w:val="00BE3213"/>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5767A"/>
    <w:rsid w:val="00C60064"/>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116B"/>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26E"/>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1A9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3F75"/>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299"/>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1C36"/>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6CC6"/>
    <w:rsid w:val="00DF7DED"/>
    <w:rsid w:val="00E0032E"/>
    <w:rsid w:val="00E0074D"/>
    <w:rsid w:val="00E007CD"/>
    <w:rsid w:val="00E0205D"/>
    <w:rsid w:val="00E03B13"/>
    <w:rsid w:val="00E03BE1"/>
    <w:rsid w:val="00E04060"/>
    <w:rsid w:val="00E0458A"/>
    <w:rsid w:val="00E048C6"/>
    <w:rsid w:val="00E06B20"/>
    <w:rsid w:val="00E0737F"/>
    <w:rsid w:val="00E1018A"/>
    <w:rsid w:val="00E10C7D"/>
    <w:rsid w:val="00E1155D"/>
    <w:rsid w:val="00E120F4"/>
    <w:rsid w:val="00E121B5"/>
    <w:rsid w:val="00E1226F"/>
    <w:rsid w:val="00E125F6"/>
    <w:rsid w:val="00E127C3"/>
    <w:rsid w:val="00E14C1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40E"/>
    <w:rsid w:val="00EA7720"/>
    <w:rsid w:val="00EA7F21"/>
    <w:rsid w:val="00EB1559"/>
    <w:rsid w:val="00EB1663"/>
    <w:rsid w:val="00EB4324"/>
    <w:rsid w:val="00EB4808"/>
    <w:rsid w:val="00EB4DD2"/>
    <w:rsid w:val="00EB6B1E"/>
    <w:rsid w:val="00EB6B41"/>
    <w:rsid w:val="00EB7739"/>
    <w:rsid w:val="00EB7DFF"/>
    <w:rsid w:val="00EC06D5"/>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040F"/>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9C0"/>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666"/>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6B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B3BDF"/>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3B3250"/>
    <w:rsid w:val="02402B3C"/>
    <w:rsid w:val="02437D3E"/>
    <w:rsid w:val="024B45DB"/>
    <w:rsid w:val="02523498"/>
    <w:rsid w:val="02662DCD"/>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86A6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5C49F4"/>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41673"/>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7693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17C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A7F8A"/>
    <w:rsid w:val="0BEB0B21"/>
    <w:rsid w:val="0BF83F28"/>
    <w:rsid w:val="0C0511F2"/>
    <w:rsid w:val="0C074871"/>
    <w:rsid w:val="0C3255F2"/>
    <w:rsid w:val="0C355818"/>
    <w:rsid w:val="0C37777C"/>
    <w:rsid w:val="0C4057C9"/>
    <w:rsid w:val="0C5F6C01"/>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27372"/>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7184E"/>
    <w:rsid w:val="0F0939B9"/>
    <w:rsid w:val="0F0E6CDB"/>
    <w:rsid w:val="0F2C59E9"/>
    <w:rsid w:val="0F3A2C70"/>
    <w:rsid w:val="0F4143CE"/>
    <w:rsid w:val="0F4340EF"/>
    <w:rsid w:val="0F526842"/>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C53E40"/>
    <w:rsid w:val="0FD531D3"/>
    <w:rsid w:val="0FD92425"/>
    <w:rsid w:val="0FDB1049"/>
    <w:rsid w:val="0FDD1017"/>
    <w:rsid w:val="0FE322F6"/>
    <w:rsid w:val="0FEE6AC8"/>
    <w:rsid w:val="0FF8213F"/>
    <w:rsid w:val="100A179D"/>
    <w:rsid w:val="10120544"/>
    <w:rsid w:val="10133D23"/>
    <w:rsid w:val="10134314"/>
    <w:rsid w:val="101C4219"/>
    <w:rsid w:val="101F79B1"/>
    <w:rsid w:val="102333F4"/>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1452D"/>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3C29EF"/>
    <w:rsid w:val="133E797C"/>
    <w:rsid w:val="134030C7"/>
    <w:rsid w:val="135106FE"/>
    <w:rsid w:val="1357550B"/>
    <w:rsid w:val="135C6348"/>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C8749C"/>
    <w:rsid w:val="14D969A6"/>
    <w:rsid w:val="14E306F6"/>
    <w:rsid w:val="14E61747"/>
    <w:rsid w:val="14E73F02"/>
    <w:rsid w:val="1502097B"/>
    <w:rsid w:val="15337D09"/>
    <w:rsid w:val="153C211B"/>
    <w:rsid w:val="153C7063"/>
    <w:rsid w:val="15513899"/>
    <w:rsid w:val="155D0A7F"/>
    <w:rsid w:val="15684240"/>
    <w:rsid w:val="156F1C12"/>
    <w:rsid w:val="15784F72"/>
    <w:rsid w:val="1580763A"/>
    <w:rsid w:val="1586427B"/>
    <w:rsid w:val="15967E8D"/>
    <w:rsid w:val="159A07D2"/>
    <w:rsid w:val="159C63AC"/>
    <w:rsid w:val="15AA7739"/>
    <w:rsid w:val="15B82FBA"/>
    <w:rsid w:val="15BC4B29"/>
    <w:rsid w:val="15BE1C46"/>
    <w:rsid w:val="15C06260"/>
    <w:rsid w:val="15CA0DC6"/>
    <w:rsid w:val="15DD4A1C"/>
    <w:rsid w:val="15E90584"/>
    <w:rsid w:val="160321ED"/>
    <w:rsid w:val="160A0813"/>
    <w:rsid w:val="16263368"/>
    <w:rsid w:val="163103EC"/>
    <w:rsid w:val="163E496F"/>
    <w:rsid w:val="16401FC7"/>
    <w:rsid w:val="16597670"/>
    <w:rsid w:val="166260E3"/>
    <w:rsid w:val="166943C2"/>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12432"/>
    <w:rsid w:val="18CB7663"/>
    <w:rsid w:val="18CC5CF8"/>
    <w:rsid w:val="18CD0844"/>
    <w:rsid w:val="18D45411"/>
    <w:rsid w:val="18D63AE2"/>
    <w:rsid w:val="18F8655D"/>
    <w:rsid w:val="18FE2979"/>
    <w:rsid w:val="19057478"/>
    <w:rsid w:val="19075943"/>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D2271"/>
    <w:rsid w:val="19D16582"/>
    <w:rsid w:val="19E0148D"/>
    <w:rsid w:val="19E675DB"/>
    <w:rsid w:val="19E858AF"/>
    <w:rsid w:val="19E95C0F"/>
    <w:rsid w:val="19ED3E54"/>
    <w:rsid w:val="19F27886"/>
    <w:rsid w:val="1A002A36"/>
    <w:rsid w:val="1A051455"/>
    <w:rsid w:val="1A0F409F"/>
    <w:rsid w:val="1A2B25FE"/>
    <w:rsid w:val="1A3454BE"/>
    <w:rsid w:val="1A37645B"/>
    <w:rsid w:val="1A523105"/>
    <w:rsid w:val="1A5562D2"/>
    <w:rsid w:val="1A64411F"/>
    <w:rsid w:val="1A7857C1"/>
    <w:rsid w:val="1A912C14"/>
    <w:rsid w:val="1A9160AD"/>
    <w:rsid w:val="1A920C4A"/>
    <w:rsid w:val="1AA91D4F"/>
    <w:rsid w:val="1AB14FC0"/>
    <w:rsid w:val="1AB203D4"/>
    <w:rsid w:val="1AB77836"/>
    <w:rsid w:val="1AC94D1F"/>
    <w:rsid w:val="1ACE7057"/>
    <w:rsid w:val="1AD6153D"/>
    <w:rsid w:val="1ADA55B5"/>
    <w:rsid w:val="1ADC1643"/>
    <w:rsid w:val="1ADF0AC1"/>
    <w:rsid w:val="1AED219F"/>
    <w:rsid w:val="1AED2C11"/>
    <w:rsid w:val="1AF03D83"/>
    <w:rsid w:val="1B094BB4"/>
    <w:rsid w:val="1B0E04C0"/>
    <w:rsid w:val="1B0E27E5"/>
    <w:rsid w:val="1B192659"/>
    <w:rsid w:val="1B193B18"/>
    <w:rsid w:val="1B341EBA"/>
    <w:rsid w:val="1B3B5A5B"/>
    <w:rsid w:val="1B400993"/>
    <w:rsid w:val="1B401B13"/>
    <w:rsid w:val="1B4A340F"/>
    <w:rsid w:val="1B4B16C4"/>
    <w:rsid w:val="1B512965"/>
    <w:rsid w:val="1B5514DD"/>
    <w:rsid w:val="1B564BD8"/>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03368C"/>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C80407"/>
    <w:rsid w:val="1DEE0F15"/>
    <w:rsid w:val="1DF15A34"/>
    <w:rsid w:val="1DFD30C4"/>
    <w:rsid w:val="1E1D65A9"/>
    <w:rsid w:val="1E1F62DB"/>
    <w:rsid w:val="1E2B3BCE"/>
    <w:rsid w:val="1E3705BA"/>
    <w:rsid w:val="1E3F0D90"/>
    <w:rsid w:val="1E4B77EA"/>
    <w:rsid w:val="1E4E6B48"/>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57316"/>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5169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491116"/>
    <w:rsid w:val="224F005B"/>
    <w:rsid w:val="22550062"/>
    <w:rsid w:val="2255406C"/>
    <w:rsid w:val="226709A2"/>
    <w:rsid w:val="22810C1D"/>
    <w:rsid w:val="228B310C"/>
    <w:rsid w:val="228B4018"/>
    <w:rsid w:val="22A47B87"/>
    <w:rsid w:val="22AB3BE0"/>
    <w:rsid w:val="22B21FB3"/>
    <w:rsid w:val="22C0384D"/>
    <w:rsid w:val="22C22C57"/>
    <w:rsid w:val="22D36863"/>
    <w:rsid w:val="23105512"/>
    <w:rsid w:val="23123E0C"/>
    <w:rsid w:val="233272DB"/>
    <w:rsid w:val="23491C4F"/>
    <w:rsid w:val="234E59AA"/>
    <w:rsid w:val="235C2ECF"/>
    <w:rsid w:val="23764B9D"/>
    <w:rsid w:val="2376738D"/>
    <w:rsid w:val="23891D0E"/>
    <w:rsid w:val="23925C55"/>
    <w:rsid w:val="2397295F"/>
    <w:rsid w:val="23976015"/>
    <w:rsid w:val="239F4DB2"/>
    <w:rsid w:val="23A63537"/>
    <w:rsid w:val="23B21CC7"/>
    <w:rsid w:val="23BC1A29"/>
    <w:rsid w:val="23E863E8"/>
    <w:rsid w:val="23EF6864"/>
    <w:rsid w:val="23F2753E"/>
    <w:rsid w:val="240B1BA7"/>
    <w:rsid w:val="241B3778"/>
    <w:rsid w:val="242244CF"/>
    <w:rsid w:val="242E7C25"/>
    <w:rsid w:val="243A6DF4"/>
    <w:rsid w:val="244B4209"/>
    <w:rsid w:val="24560AE2"/>
    <w:rsid w:val="24671C47"/>
    <w:rsid w:val="24794836"/>
    <w:rsid w:val="248C391F"/>
    <w:rsid w:val="24943AAF"/>
    <w:rsid w:val="249700EF"/>
    <w:rsid w:val="24996D32"/>
    <w:rsid w:val="24AF0519"/>
    <w:rsid w:val="24BC444C"/>
    <w:rsid w:val="24C16FF5"/>
    <w:rsid w:val="24D21B16"/>
    <w:rsid w:val="24EB0386"/>
    <w:rsid w:val="24EE205A"/>
    <w:rsid w:val="24FE54BC"/>
    <w:rsid w:val="25005E1F"/>
    <w:rsid w:val="2502385F"/>
    <w:rsid w:val="25031E33"/>
    <w:rsid w:val="25066118"/>
    <w:rsid w:val="250B6210"/>
    <w:rsid w:val="25132546"/>
    <w:rsid w:val="251B182A"/>
    <w:rsid w:val="251E41E7"/>
    <w:rsid w:val="25221698"/>
    <w:rsid w:val="252A07E3"/>
    <w:rsid w:val="252A76AC"/>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DC5B4C"/>
    <w:rsid w:val="25E242BB"/>
    <w:rsid w:val="25E31A54"/>
    <w:rsid w:val="25E540FF"/>
    <w:rsid w:val="25E93B02"/>
    <w:rsid w:val="25EB3B02"/>
    <w:rsid w:val="25F07927"/>
    <w:rsid w:val="25F629AF"/>
    <w:rsid w:val="25F8089C"/>
    <w:rsid w:val="25FE3FFD"/>
    <w:rsid w:val="260354A1"/>
    <w:rsid w:val="260A2AFA"/>
    <w:rsid w:val="261747CB"/>
    <w:rsid w:val="26186461"/>
    <w:rsid w:val="2620186D"/>
    <w:rsid w:val="262162F5"/>
    <w:rsid w:val="262466CD"/>
    <w:rsid w:val="264E4C7F"/>
    <w:rsid w:val="26533224"/>
    <w:rsid w:val="26541061"/>
    <w:rsid w:val="265E494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7F469FF"/>
    <w:rsid w:val="28162C62"/>
    <w:rsid w:val="281A6B27"/>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001A0"/>
    <w:rsid w:val="29AC7F64"/>
    <w:rsid w:val="29B025A4"/>
    <w:rsid w:val="29B223D3"/>
    <w:rsid w:val="29B5714B"/>
    <w:rsid w:val="29B82AFC"/>
    <w:rsid w:val="29CA6918"/>
    <w:rsid w:val="29CD5CFE"/>
    <w:rsid w:val="29DC6F28"/>
    <w:rsid w:val="29F101FE"/>
    <w:rsid w:val="29F83E3A"/>
    <w:rsid w:val="29FC0A34"/>
    <w:rsid w:val="2A065B82"/>
    <w:rsid w:val="2A132AC9"/>
    <w:rsid w:val="2A16029F"/>
    <w:rsid w:val="2A256BD4"/>
    <w:rsid w:val="2A460495"/>
    <w:rsid w:val="2A542476"/>
    <w:rsid w:val="2A572019"/>
    <w:rsid w:val="2A606A48"/>
    <w:rsid w:val="2A672272"/>
    <w:rsid w:val="2A774F13"/>
    <w:rsid w:val="2A7F4ABA"/>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C2EE3"/>
    <w:rsid w:val="2B3F420A"/>
    <w:rsid w:val="2B450B15"/>
    <w:rsid w:val="2B4A3494"/>
    <w:rsid w:val="2B4D5A99"/>
    <w:rsid w:val="2B4E405F"/>
    <w:rsid w:val="2B510311"/>
    <w:rsid w:val="2B593E95"/>
    <w:rsid w:val="2B5A4189"/>
    <w:rsid w:val="2B5D3ED4"/>
    <w:rsid w:val="2B5E52D5"/>
    <w:rsid w:val="2B7831EA"/>
    <w:rsid w:val="2B7D13CC"/>
    <w:rsid w:val="2B8876B4"/>
    <w:rsid w:val="2B902E07"/>
    <w:rsid w:val="2B935FD0"/>
    <w:rsid w:val="2BA13AB1"/>
    <w:rsid w:val="2BA857ED"/>
    <w:rsid w:val="2BAE6C79"/>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5D4A64"/>
    <w:rsid w:val="2D696E27"/>
    <w:rsid w:val="2D90109D"/>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CA65FE"/>
    <w:rsid w:val="2ED237F3"/>
    <w:rsid w:val="2ED32DFF"/>
    <w:rsid w:val="2EE83A34"/>
    <w:rsid w:val="2EFE23E9"/>
    <w:rsid w:val="2F0C4C2A"/>
    <w:rsid w:val="2F0F563F"/>
    <w:rsid w:val="2F144960"/>
    <w:rsid w:val="2F1519D6"/>
    <w:rsid w:val="2F170C0F"/>
    <w:rsid w:val="2F1F3A4D"/>
    <w:rsid w:val="2F2B0AB4"/>
    <w:rsid w:val="2F2B4668"/>
    <w:rsid w:val="2F334031"/>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95F0D"/>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24EFE"/>
    <w:rsid w:val="31A30319"/>
    <w:rsid w:val="31A6662C"/>
    <w:rsid w:val="31B50898"/>
    <w:rsid w:val="31B50F9D"/>
    <w:rsid w:val="31B62FDB"/>
    <w:rsid w:val="31BA2482"/>
    <w:rsid w:val="31BE47CA"/>
    <w:rsid w:val="31D01CA2"/>
    <w:rsid w:val="31D45DBB"/>
    <w:rsid w:val="31DF176C"/>
    <w:rsid w:val="31E8134E"/>
    <w:rsid w:val="31F45A41"/>
    <w:rsid w:val="31FF4B7E"/>
    <w:rsid w:val="320A13F1"/>
    <w:rsid w:val="3211002E"/>
    <w:rsid w:val="322914C7"/>
    <w:rsid w:val="323A5F58"/>
    <w:rsid w:val="3246575B"/>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01F6E"/>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4C6F16"/>
    <w:rsid w:val="346C064E"/>
    <w:rsid w:val="346C77B6"/>
    <w:rsid w:val="34717DC6"/>
    <w:rsid w:val="347C176C"/>
    <w:rsid w:val="3487701B"/>
    <w:rsid w:val="349738A7"/>
    <w:rsid w:val="34A55B39"/>
    <w:rsid w:val="34A96C6F"/>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0237F"/>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C67CEC"/>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94364"/>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57E30"/>
    <w:rsid w:val="3A19437E"/>
    <w:rsid w:val="3A1E2183"/>
    <w:rsid w:val="3A243389"/>
    <w:rsid w:val="3A262671"/>
    <w:rsid w:val="3A29061F"/>
    <w:rsid w:val="3A3A0854"/>
    <w:rsid w:val="3A45141A"/>
    <w:rsid w:val="3A4A6214"/>
    <w:rsid w:val="3A4E4899"/>
    <w:rsid w:val="3A513291"/>
    <w:rsid w:val="3A5847F6"/>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60989"/>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9C5849"/>
    <w:rsid w:val="3BA87780"/>
    <w:rsid w:val="3BAF72C4"/>
    <w:rsid w:val="3BB11956"/>
    <w:rsid w:val="3BB43E16"/>
    <w:rsid w:val="3BB605E3"/>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31D8A"/>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7225C"/>
    <w:rsid w:val="3DA9227E"/>
    <w:rsid w:val="3DAF74FA"/>
    <w:rsid w:val="3DB000E2"/>
    <w:rsid w:val="3DB302F2"/>
    <w:rsid w:val="3DB979B4"/>
    <w:rsid w:val="3DCB24A6"/>
    <w:rsid w:val="3DCC1E7E"/>
    <w:rsid w:val="3DD4374A"/>
    <w:rsid w:val="3DDD29A0"/>
    <w:rsid w:val="3DE15919"/>
    <w:rsid w:val="3DE976C2"/>
    <w:rsid w:val="3DF90482"/>
    <w:rsid w:val="3DF95EC3"/>
    <w:rsid w:val="3DFA4B38"/>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8D72D9"/>
    <w:rsid w:val="3E9164DD"/>
    <w:rsid w:val="3EA07325"/>
    <w:rsid w:val="3EA07B6F"/>
    <w:rsid w:val="3EB2263C"/>
    <w:rsid w:val="3EC17934"/>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973E1"/>
    <w:rsid w:val="402E54E8"/>
    <w:rsid w:val="40301AE6"/>
    <w:rsid w:val="40326E41"/>
    <w:rsid w:val="40385AA9"/>
    <w:rsid w:val="403B29C9"/>
    <w:rsid w:val="403B53C3"/>
    <w:rsid w:val="403D69B3"/>
    <w:rsid w:val="4044786E"/>
    <w:rsid w:val="404558DE"/>
    <w:rsid w:val="404855D8"/>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04D2B"/>
    <w:rsid w:val="41443AA3"/>
    <w:rsid w:val="41454EA2"/>
    <w:rsid w:val="415347E5"/>
    <w:rsid w:val="41773C7A"/>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097FF7"/>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830A6E"/>
    <w:rsid w:val="439259D2"/>
    <w:rsid w:val="439B4E7F"/>
    <w:rsid w:val="43B64920"/>
    <w:rsid w:val="43D13E89"/>
    <w:rsid w:val="43E3508A"/>
    <w:rsid w:val="43EB4BFE"/>
    <w:rsid w:val="43EE0ECC"/>
    <w:rsid w:val="43F4135D"/>
    <w:rsid w:val="43F71F07"/>
    <w:rsid w:val="43F7500D"/>
    <w:rsid w:val="44005E7B"/>
    <w:rsid w:val="44013179"/>
    <w:rsid w:val="440805B8"/>
    <w:rsid w:val="441218AF"/>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DE6F85"/>
    <w:rsid w:val="44EE6174"/>
    <w:rsid w:val="44EF1836"/>
    <w:rsid w:val="44F6488D"/>
    <w:rsid w:val="44FC2960"/>
    <w:rsid w:val="45026AC6"/>
    <w:rsid w:val="45044A12"/>
    <w:rsid w:val="450874C4"/>
    <w:rsid w:val="45123B46"/>
    <w:rsid w:val="45282A9A"/>
    <w:rsid w:val="452B6A1A"/>
    <w:rsid w:val="45334A20"/>
    <w:rsid w:val="453711EE"/>
    <w:rsid w:val="453C14B9"/>
    <w:rsid w:val="4548010A"/>
    <w:rsid w:val="45481632"/>
    <w:rsid w:val="455238CA"/>
    <w:rsid w:val="4589448D"/>
    <w:rsid w:val="45A9516E"/>
    <w:rsid w:val="45C86987"/>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665B7"/>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1B6A79"/>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90912"/>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1196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640F1"/>
    <w:rsid w:val="4C572817"/>
    <w:rsid w:val="4C5A1583"/>
    <w:rsid w:val="4C5A636B"/>
    <w:rsid w:val="4C6241E3"/>
    <w:rsid w:val="4C6369A7"/>
    <w:rsid w:val="4C644BBF"/>
    <w:rsid w:val="4C653585"/>
    <w:rsid w:val="4C6C14CD"/>
    <w:rsid w:val="4C6C224A"/>
    <w:rsid w:val="4C787DD0"/>
    <w:rsid w:val="4C7C366B"/>
    <w:rsid w:val="4C7D636D"/>
    <w:rsid w:val="4C873E85"/>
    <w:rsid w:val="4C8E3A1F"/>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A4412"/>
    <w:rsid w:val="4EEB259A"/>
    <w:rsid w:val="4EED0EC0"/>
    <w:rsid w:val="4EF4193D"/>
    <w:rsid w:val="4EF6402D"/>
    <w:rsid w:val="4F05572E"/>
    <w:rsid w:val="4F085853"/>
    <w:rsid w:val="4F0B1984"/>
    <w:rsid w:val="4F153A2F"/>
    <w:rsid w:val="4F1B3724"/>
    <w:rsid w:val="4F1D0E4A"/>
    <w:rsid w:val="4F22732B"/>
    <w:rsid w:val="4F2B59D9"/>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4DDA"/>
    <w:rsid w:val="503C72D7"/>
    <w:rsid w:val="503D204E"/>
    <w:rsid w:val="505E14C8"/>
    <w:rsid w:val="50621D1D"/>
    <w:rsid w:val="50660A6D"/>
    <w:rsid w:val="506C5899"/>
    <w:rsid w:val="50730E54"/>
    <w:rsid w:val="50731582"/>
    <w:rsid w:val="509A2E32"/>
    <w:rsid w:val="509F5FAB"/>
    <w:rsid w:val="50B51267"/>
    <w:rsid w:val="50D0779D"/>
    <w:rsid w:val="50D66339"/>
    <w:rsid w:val="50E2253E"/>
    <w:rsid w:val="50FD0E66"/>
    <w:rsid w:val="510B565B"/>
    <w:rsid w:val="51120212"/>
    <w:rsid w:val="51144DFE"/>
    <w:rsid w:val="511869DC"/>
    <w:rsid w:val="512D39B1"/>
    <w:rsid w:val="512E1A85"/>
    <w:rsid w:val="513779D9"/>
    <w:rsid w:val="513D3E59"/>
    <w:rsid w:val="51482EA1"/>
    <w:rsid w:val="5149740B"/>
    <w:rsid w:val="514E06C0"/>
    <w:rsid w:val="515446E1"/>
    <w:rsid w:val="5155290A"/>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20A4"/>
    <w:rsid w:val="54A6767D"/>
    <w:rsid w:val="54AC2B6D"/>
    <w:rsid w:val="54AC5454"/>
    <w:rsid w:val="54B04618"/>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B1274A"/>
    <w:rsid w:val="55C94CAE"/>
    <w:rsid w:val="55CF73FE"/>
    <w:rsid w:val="55E57E38"/>
    <w:rsid w:val="55EA4151"/>
    <w:rsid w:val="55F000D2"/>
    <w:rsid w:val="55F261D1"/>
    <w:rsid w:val="55F33371"/>
    <w:rsid w:val="55F82D46"/>
    <w:rsid w:val="55FC62A2"/>
    <w:rsid w:val="55FE05F9"/>
    <w:rsid w:val="560C6075"/>
    <w:rsid w:val="561153A0"/>
    <w:rsid w:val="56162164"/>
    <w:rsid w:val="56362315"/>
    <w:rsid w:val="563C1BB1"/>
    <w:rsid w:val="563E05D4"/>
    <w:rsid w:val="564546A3"/>
    <w:rsid w:val="564F7F5F"/>
    <w:rsid w:val="5658660E"/>
    <w:rsid w:val="56664FB5"/>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9B0942"/>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9554FB"/>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41DFA"/>
    <w:rsid w:val="5BB60E07"/>
    <w:rsid w:val="5BB85E2E"/>
    <w:rsid w:val="5BBC15CD"/>
    <w:rsid w:val="5BC154FF"/>
    <w:rsid w:val="5BCE1DEC"/>
    <w:rsid w:val="5BF84A18"/>
    <w:rsid w:val="5BF86102"/>
    <w:rsid w:val="5C062A97"/>
    <w:rsid w:val="5C066946"/>
    <w:rsid w:val="5C0D0B5B"/>
    <w:rsid w:val="5C1B653E"/>
    <w:rsid w:val="5C1F1314"/>
    <w:rsid w:val="5C213896"/>
    <w:rsid w:val="5C2401A4"/>
    <w:rsid w:val="5C244D0A"/>
    <w:rsid w:val="5C251B6A"/>
    <w:rsid w:val="5C2950BA"/>
    <w:rsid w:val="5C3077B3"/>
    <w:rsid w:val="5C3B38FA"/>
    <w:rsid w:val="5C4417DA"/>
    <w:rsid w:val="5C4616A2"/>
    <w:rsid w:val="5C5872CD"/>
    <w:rsid w:val="5C723D2D"/>
    <w:rsid w:val="5C7D6E15"/>
    <w:rsid w:val="5C855E5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657493"/>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6B1DD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3E6102"/>
    <w:rsid w:val="5F417E0E"/>
    <w:rsid w:val="5F4A55C6"/>
    <w:rsid w:val="5F4B3D65"/>
    <w:rsid w:val="5F5938BD"/>
    <w:rsid w:val="5F5A0BD2"/>
    <w:rsid w:val="5F605042"/>
    <w:rsid w:val="5F6930D0"/>
    <w:rsid w:val="5F6A388F"/>
    <w:rsid w:val="5F702AE8"/>
    <w:rsid w:val="5F716DED"/>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B6BBC"/>
    <w:rsid w:val="614F7714"/>
    <w:rsid w:val="614F79E9"/>
    <w:rsid w:val="615F1CAE"/>
    <w:rsid w:val="615F2167"/>
    <w:rsid w:val="615F7D6A"/>
    <w:rsid w:val="616048EE"/>
    <w:rsid w:val="61653414"/>
    <w:rsid w:val="61775B03"/>
    <w:rsid w:val="61787C76"/>
    <w:rsid w:val="617D2724"/>
    <w:rsid w:val="618C04FE"/>
    <w:rsid w:val="6192024E"/>
    <w:rsid w:val="61DE1F1F"/>
    <w:rsid w:val="61E26CFA"/>
    <w:rsid w:val="61F155B4"/>
    <w:rsid w:val="620058CC"/>
    <w:rsid w:val="62010932"/>
    <w:rsid w:val="620218E0"/>
    <w:rsid w:val="62175873"/>
    <w:rsid w:val="621A07C5"/>
    <w:rsid w:val="621A2AEC"/>
    <w:rsid w:val="621D3DE0"/>
    <w:rsid w:val="62204A9C"/>
    <w:rsid w:val="623D3F36"/>
    <w:rsid w:val="62414EF4"/>
    <w:rsid w:val="624C7A06"/>
    <w:rsid w:val="624D069F"/>
    <w:rsid w:val="625A3A2B"/>
    <w:rsid w:val="62641E35"/>
    <w:rsid w:val="628B380A"/>
    <w:rsid w:val="62A86AE4"/>
    <w:rsid w:val="62B6094A"/>
    <w:rsid w:val="62CE4E0F"/>
    <w:rsid w:val="62DF20A9"/>
    <w:rsid w:val="62E54C39"/>
    <w:rsid w:val="62EB578C"/>
    <w:rsid w:val="62F167F5"/>
    <w:rsid w:val="62FE5AC6"/>
    <w:rsid w:val="630C3AE7"/>
    <w:rsid w:val="63325CEE"/>
    <w:rsid w:val="633B4110"/>
    <w:rsid w:val="634D5A29"/>
    <w:rsid w:val="635555EB"/>
    <w:rsid w:val="635D0A00"/>
    <w:rsid w:val="635D7216"/>
    <w:rsid w:val="636720D2"/>
    <w:rsid w:val="636E7708"/>
    <w:rsid w:val="63716BBE"/>
    <w:rsid w:val="63722410"/>
    <w:rsid w:val="63794C98"/>
    <w:rsid w:val="637F7CAA"/>
    <w:rsid w:val="63801BD5"/>
    <w:rsid w:val="63896AA1"/>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6F31D3"/>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0D29"/>
    <w:rsid w:val="65E9248D"/>
    <w:rsid w:val="65EF7DFF"/>
    <w:rsid w:val="6613354E"/>
    <w:rsid w:val="66200813"/>
    <w:rsid w:val="662032A0"/>
    <w:rsid w:val="66322707"/>
    <w:rsid w:val="664A2B0B"/>
    <w:rsid w:val="665225B6"/>
    <w:rsid w:val="66643CD5"/>
    <w:rsid w:val="66645BD3"/>
    <w:rsid w:val="666752FC"/>
    <w:rsid w:val="66706620"/>
    <w:rsid w:val="667A0598"/>
    <w:rsid w:val="667A2800"/>
    <w:rsid w:val="667A6648"/>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2F5BE0"/>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07CE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11829"/>
    <w:rsid w:val="6B751185"/>
    <w:rsid w:val="6B8A477E"/>
    <w:rsid w:val="6B8F6298"/>
    <w:rsid w:val="6BA82C4B"/>
    <w:rsid w:val="6BB02DDF"/>
    <w:rsid w:val="6BD92C40"/>
    <w:rsid w:val="6BE839EF"/>
    <w:rsid w:val="6BED6077"/>
    <w:rsid w:val="6BF63366"/>
    <w:rsid w:val="6C3016AA"/>
    <w:rsid w:val="6C4062F7"/>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E70B21"/>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9A0FE4"/>
    <w:rsid w:val="70A23903"/>
    <w:rsid w:val="70A36B91"/>
    <w:rsid w:val="70AB660C"/>
    <w:rsid w:val="70B4157B"/>
    <w:rsid w:val="70BC2170"/>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B63CA1"/>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CE7946"/>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54BE6"/>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203EB"/>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C4584"/>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62566"/>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1F046A"/>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5387"/>
    <w:rsid w:val="7DF076CD"/>
    <w:rsid w:val="7E03513B"/>
    <w:rsid w:val="7E145B78"/>
    <w:rsid w:val="7E1625A8"/>
    <w:rsid w:val="7E1E5DFA"/>
    <w:rsid w:val="7E45572A"/>
    <w:rsid w:val="7E4F3EE6"/>
    <w:rsid w:val="7E525688"/>
    <w:rsid w:val="7E5358A2"/>
    <w:rsid w:val="7E57165F"/>
    <w:rsid w:val="7E5C5F01"/>
    <w:rsid w:val="7E652E48"/>
    <w:rsid w:val="7E72494E"/>
    <w:rsid w:val="7E811934"/>
    <w:rsid w:val="7E8F6B16"/>
    <w:rsid w:val="7E961378"/>
    <w:rsid w:val="7EA617D8"/>
    <w:rsid w:val="7EA96A04"/>
    <w:rsid w:val="7ECA7D82"/>
    <w:rsid w:val="7EDA01CE"/>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D409B"/>
    <w:rsid w:val="7F3367F6"/>
    <w:rsid w:val="7F405636"/>
    <w:rsid w:val="7F560F95"/>
    <w:rsid w:val="7F737A53"/>
    <w:rsid w:val="7F8304E3"/>
    <w:rsid w:val="7F8339FD"/>
    <w:rsid w:val="7F974ED5"/>
    <w:rsid w:val="7F9F5B2E"/>
    <w:rsid w:val="7FA15F27"/>
    <w:rsid w:val="7FB25973"/>
    <w:rsid w:val="7FCE1A7C"/>
    <w:rsid w:val="7FD95F7E"/>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Times New Roman"/>
      <w:b w:val="0"/>
      <w:kern w:val="0"/>
      <w:sz w:val="28"/>
      <w:szCs w:val="32"/>
      <w:lang w:val="en-GB"/>
    </w:rPr>
  </w:style>
  <w:style w:type="paragraph" w:styleId="4">
    <w:name w:val="heading 3"/>
    <w:basedOn w:val="3"/>
    <w:next w:val="1"/>
    <w:link w:val="72"/>
    <w:qFormat/>
    <w:uiPriority w:val="99"/>
    <w:pPr>
      <w:numPr>
        <w:ilvl w:val="2"/>
        <w:numId w:val="1"/>
      </w:numPr>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lang w:val="en-GB" w:eastAsia="en-GB"/>
    </w:rPr>
  </w:style>
  <w:style w:type="paragraph" w:styleId="20">
    <w:name w:val="index 8"/>
    <w:basedOn w:val="1"/>
    <w:next w:val="1"/>
    <w:qFormat/>
    <w:uiPriority w:val="0"/>
    <w:pPr>
      <w:ind w:left="1680" w:hanging="210"/>
      <w:jc w:val="left"/>
    </w:pPr>
    <w:rPr>
      <w:rFonts w:ascii="Calibri" w:hAnsi="Calibri"/>
      <w:szCs w:val="20"/>
    </w:rPr>
  </w:style>
  <w:style w:type="paragraph" w:styleId="21">
    <w:name w:val="caption"/>
    <w:basedOn w:val="1"/>
    <w:next w:val="1"/>
    <w:link w:val="90"/>
    <w:qFormat/>
    <w:uiPriority w:val="0"/>
    <w:pPr>
      <w:spacing w:before="152"/>
      <w:jc w:val="center"/>
    </w:pPr>
    <w:rPr>
      <w:rFonts w:ascii="Times New Roman" w:hAnsi="Times New Roman" w:eastAsia="黑体" w:cs="Arial"/>
      <w:szCs w:val="20"/>
    </w:rPr>
  </w:style>
  <w:style w:type="paragraph" w:styleId="22">
    <w:name w:val="index 5"/>
    <w:basedOn w:val="1"/>
    <w:next w:val="1"/>
    <w:qFormat/>
    <w:uiPriority w:val="0"/>
    <w:pPr>
      <w:ind w:left="1050" w:hanging="210"/>
      <w:jc w:val="left"/>
    </w:pPr>
    <w:rPr>
      <w:rFonts w:ascii="Calibri" w:hAnsi="Calibri"/>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Cs w:val="20"/>
    </w:rPr>
  </w:style>
  <w:style w:type="paragraph" w:styleId="26">
    <w:name w:val="Body Text"/>
    <w:basedOn w:val="1"/>
    <w:link w:val="125"/>
    <w:qFormat/>
    <w:uiPriority w:val="0"/>
    <w:pPr>
      <w:widowControl/>
      <w:spacing w:before="40" w:after="120"/>
      <w:jc w:val="left"/>
    </w:pPr>
    <w:rPr>
      <w:rFonts w:ascii="Arial" w:hAnsi="Arial" w:eastAsia="MS Mincho"/>
      <w:kern w:val="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Cs w:val="20"/>
      <w:lang w:val="en-GB" w:eastAsia="en-GB"/>
    </w:rPr>
  </w:style>
  <w:style w:type="table" w:styleId="57">
    <w:name w:val="Table Grid"/>
    <w:basedOn w:val="5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99"/>
    <w:rPr>
      <w:b/>
      <w:bCs/>
      <w:kern w:val="44"/>
      <w:sz w:val="44"/>
      <w:szCs w:val="44"/>
    </w:rPr>
  </w:style>
  <w:style w:type="character" w:customStyle="1" w:styleId="71">
    <w:name w:val="Heading 2 Char"/>
    <w:basedOn w:val="58"/>
    <w:link w:val="3"/>
    <w:qFormat/>
    <w:uiPriority w:val="99"/>
    <w:rPr>
      <w:rFonts w:ascii="Arial" w:hAnsi="Arial" w:eastAsia="Times New Roman"/>
      <w:sz w:val="28"/>
      <w:szCs w:val="32"/>
      <w:lang w:val="en-GB"/>
    </w:rPr>
  </w:style>
  <w:style w:type="character" w:customStyle="1" w:styleId="72">
    <w:name w:val="Heading 3 Char"/>
    <w:basedOn w:val="58"/>
    <w:link w:val="4"/>
    <w:qFormat/>
    <w:uiPriority w:val="99"/>
    <w:rPr>
      <w:rFonts w:ascii="Arial" w:hAnsi="Arial" w:eastAsia="MS Mincho"/>
      <w:b/>
      <w:bCs/>
      <w:sz w:val="32"/>
      <w:szCs w:val="32"/>
      <w:lang w:val="en-GB"/>
    </w:rPr>
  </w:style>
  <w:style w:type="character" w:customStyle="1" w:styleId="73">
    <w:name w:val="Heading 4 Char"/>
    <w:basedOn w:val="58"/>
    <w:link w:val="5"/>
    <w:qFormat/>
    <w:uiPriority w:val="0"/>
    <w:rPr>
      <w:rFonts w:ascii="Arial" w:hAnsi="Arial" w:eastAsia="黑体"/>
      <w:b/>
      <w:bCs/>
      <w:sz w:val="28"/>
      <w:szCs w:val="32"/>
      <w:lang w:val="en-GB"/>
    </w:rPr>
  </w:style>
  <w:style w:type="character" w:customStyle="1" w:styleId="74">
    <w:name w:val="Heading 5 Char"/>
    <w:basedOn w:val="58"/>
    <w:link w:val="6"/>
    <w:qFormat/>
    <w:uiPriority w:val="0"/>
    <w:rPr>
      <w:rFonts w:ascii="Arial" w:hAnsi="Arial" w:eastAsia="黑体"/>
      <w:b/>
      <w:bCs/>
      <w:sz w:val="28"/>
      <w:szCs w:val="32"/>
      <w:lang w:val="en-GB"/>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Cs w:val="20"/>
      <w:lang w:eastAsia="en-US"/>
    </w:rPr>
  </w:style>
  <w:style w:type="character" w:customStyle="1" w:styleId="90">
    <w:name w:val="Caption Char"/>
    <w:link w:val="21"/>
    <w:qFormat/>
    <w:uiPriority w:val="99"/>
    <w:rPr>
      <w:rFonts w:ascii="Times New Roman" w:hAnsi="Times New Roman"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305">
    <w:name w:val="列出段落1"/>
    <w:basedOn w:val="1"/>
    <w:semiHidden/>
    <w:qFormat/>
    <w:uiPriority w:val="0"/>
    <w:pPr>
      <w:spacing w:before="100" w:beforeAutospacing="1" w:line="256" w:lineRule="auto"/>
      <w:ind w:firstLine="420" w:firstLineChars="200"/>
    </w:pPr>
    <w:rPr>
      <w:rFonts w:eastAsia="宋体"/>
      <w:szCs w:val="21"/>
    </w:rPr>
  </w:style>
  <w:style w:type="table" w:customStyle="1" w:styleId="306">
    <w:name w:val="网格表 4 - 着色 51"/>
    <w:basedOn w:val="56"/>
    <w:qFormat/>
    <w:uiPriority w:val="0"/>
    <w:rPr>
      <w:rFonts w:eastAsia="Times New Roman"/>
    </w:rPr>
    <w:tblPr>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Pr>
    <w:tblStylePr w:type="firstRow">
      <w:rPr>
        <w:rFonts w:hint="default" w:ascii="Times New Roman" w:hAnsi="Times New Roman" w:cs="Times New Roman"/>
        <w:b/>
        <w:bCs/>
        <w:color w:val="FFFFFF"/>
      </w:rPr>
      <w:tcPr>
        <w:tcBorders>
          <w:top w:val="single" w:color="8DC642" w:sz="4" w:space="0"/>
          <w:left w:val="single" w:color="8DC642" w:sz="4" w:space="0"/>
          <w:bottom w:val="single" w:color="8DC642" w:sz="4" w:space="0"/>
          <w:right w:val="single" w:color="8DC642" w:sz="4" w:space="0"/>
          <w:insideH w:val="nil"/>
          <w:insideV w:val="nil"/>
        </w:tcBorders>
        <w:shd w:val="clear" w:color="auto" w:fill="8DC642"/>
      </w:tcPr>
    </w:tblStylePr>
    <w:tblStylePr w:type="lastRow">
      <w:rPr>
        <w:rFonts w:hint="default" w:ascii="Times New Roman" w:hAnsi="Times New Roman" w:cs="Times New Roman"/>
        <w:b/>
        <w:bCs/>
      </w:rPr>
      <w:tcPr>
        <w:tcBorders>
          <w:top w:val="double" w:color="8DC642" w:sz="2"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8F3D9"/>
      </w:tcPr>
    </w:tblStylePr>
    <w:tblStylePr w:type="band1Horz">
      <w:tcPr>
        <w:shd w:val="clear" w:color="auto" w:fill="E8F3D9"/>
      </w:tcPr>
    </w:tblStylePr>
  </w:style>
  <w:style w:type="paragraph" w:customStyle="1" w:styleId="307">
    <w:name w:val="Revision"/>
    <w:hidden/>
    <w:semiHidden/>
    <w:qFormat/>
    <w:uiPriority w:val="99"/>
    <w:pPr>
      <w:spacing w:after="0" w:line="240" w:lineRule="auto"/>
    </w:pPr>
    <w:rPr>
      <w:rFonts w:ascii="Times New Roman" w:hAnsi="Times New Roman" w:cs="Times New Roman" w:eastAsiaTheme="minorEastAsia"/>
      <w:kern w:val="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962646-39BD-4211-B751-030CE812AEFA}">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6</Pages>
  <Words>1966</Words>
  <Characters>11211</Characters>
  <Lines>93</Lines>
  <Paragraphs>26</Paragraphs>
  <TotalTime>8</TotalTime>
  <ScaleCrop>false</ScaleCrop>
  <LinksUpToDate>false</LinksUpToDate>
  <CharactersWithSpaces>13151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2023-02-17T00:51:00Z</dcterms:created>
  <dc:creator>10033860</dc:creator>
  <cp:lastModifiedBy>ZTE3</cp:lastModifiedBy>
  <cp:lastPrinted>2113-01-01T00:00:00Z</cp:lastPrinted>
  <dcterms:modified xsi:type="dcterms:W3CDTF">2023-04-07T07:31:35Z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